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5D" w:rsidRPr="00EF275D" w:rsidRDefault="00EF275D" w:rsidP="00EF275D">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u w:val="single"/>
          <w:lang w:val="es-ES" w:eastAsia="es-ES"/>
        </w:rPr>
        <w:t xml:space="preserve">IAB </w:t>
      </w:r>
      <w:proofErr w:type="spellStart"/>
      <w:r w:rsidRPr="00EF275D">
        <w:rPr>
          <w:rFonts w:ascii="Trebuchet MS" w:eastAsia="Times New Roman" w:hAnsi="Trebuchet MS" w:cs="Times New Roman"/>
          <w:b/>
          <w:bCs/>
          <w:u w:val="single"/>
          <w:lang w:val="es-ES" w:eastAsia="es-ES"/>
        </w:rPr>
        <w:t>Spain</w:t>
      </w:r>
      <w:proofErr w:type="spellEnd"/>
      <w:r w:rsidRPr="00EF275D">
        <w:rPr>
          <w:rFonts w:ascii="Trebuchet MS" w:eastAsia="Times New Roman" w:hAnsi="Trebuchet MS" w:cs="Times New Roman"/>
          <w:b/>
          <w:bCs/>
          <w:u w:val="single"/>
          <w:lang w:val="es-ES" w:eastAsia="es-ES"/>
        </w:rPr>
        <w:t xml:space="preserve"> - COMUNICADO DE PRENSA</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sz w:val="24"/>
          <w:szCs w:val="24"/>
          <w:lang w:eastAsia="es-ES"/>
        </w:rPr>
        <w:t> </w:t>
      </w:r>
    </w:p>
    <w:p w:rsidR="00EF275D" w:rsidRPr="00EF275D" w:rsidRDefault="00EF275D" w:rsidP="00EF275D">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sz w:val="40"/>
          <w:szCs w:val="40"/>
          <w:lang w:eastAsia="es-ES"/>
        </w:rPr>
        <w:t xml:space="preserve">Postura de IAB </w:t>
      </w:r>
      <w:proofErr w:type="spellStart"/>
      <w:r w:rsidRPr="00EF275D">
        <w:rPr>
          <w:rFonts w:ascii="Trebuchet MS" w:eastAsia="Times New Roman" w:hAnsi="Trebuchet MS" w:cs="Times New Roman"/>
          <w:b/>
          <w:bCs/>
          <w:sz w:val="40"/>
          <w:szCs w:val="40"/>
          <w:lang w:eastAsia="es-ES"/>
        </w:rPr>
        <w:t>Spain</w:t>
      </w:r>
      <w:proofErr w:type="spellEnd"/>
      <w:r w:rsidRPr="00EF275D">
        <w:rPr>
          <w:rFonts w:ascii="Trebuchet MS" w:eastAsia="Times New Roman" w:hAnsi="Trebuchet MS" w:cs="Times New Roman"/>
          <w:b/>
          <w:bCs/>
          <w:sz w:val="40"/>
          <w:szCs w:val="40"/>
          <w:lang w:eastAsia="es-ES"/>
        </w:rPr>
        <w:t xml:space="preserve"> sobre la nueva regulación de </w:t>
      </w:r>
      <w:proofErr w:type="spellStart"/>
      <w:r w:rsidRPr="00EF275D">
        <w:rPr>
          <w:rFonts w:ascii="Trebuchet MS" w:eastAsia="Times New Roman" w:hAnsi="Trebuchet MS" w:cs="Times New Roman"/>
          <w:b/>
          <w:bCs/>
          <w:sz w:val="40"/>
          <w:szCs w:val="40"/>
          <w:lang w:eastAsia="es-ES"/>
        </w:rPr>
        <w:t>cookies</w:t>
      </w:r>
      <w:proofErr w:type="spellEnd"/>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 </w:t>
      </w:r>
      <w:r w:rsidRPr="00EF275D">
        <w:rPr>
          <w:rFonts w:ascii="Trebuchet MS" w:eastAsia="Times New Roman" w:hAnsi="Trebuchet MS" w:cs="Times New Roman"/>
          <w:sz w:val="20"/>
          <w:szCs w:val="20"/>
          <w:lang w:val="es-ES" w:eastAsia="es-ES"/>
        </w:rPr>
        <w:t>Ante la reciente publicación de la transposición de la Directiva de privacidad que afecta al uso de las cookies, IAB ha preparado el siguiente documento para resolver las dudas que dicha Directiva haya podido causar en las empresas del sector digital.</w:t>
      </w:r>
    </w:p>
    <w:p w:rsid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1.</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¿De dónde nace esta cuestión?</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La regulación del uso de cookies en publicidad </w:t>
      </w:r>
      <w:proofErr w:type="spellStart"/>
      <w:r w:rsidRPr="00EF275D">
        <w:rPr>
          <w:rFonts w:ascii="Trebuchet MS" w:eastAsia="Times New Roman" w:hAnsi="Trebuchet MS" w:cs="Times New Roman"/>
          <w:sz w:val="20"/>
          <w:szCs w:val="20"/>
          <w:lang w:val="es-ES" w:eastAsia="es-ES"/>
        </w:rPr>
        <w:t>comportamental</w:t>
      </w:r>
      <w:proofErr w:type="spellEnd"/>
      <w:r w:rsidRPr="00EF275D">
        <w:rPr>
          <w:rFonts w:ascii="Trebuchet MS" w:eastAsia="Times New Roman" w:hAnsi="Trebuchet MS" w:cs="Times New Roman"/>
          <w:sz w:val="20"/>
          <w:szCs w:val="20"/>
          <w:lang w:val="es-ES" w:eastAsia="es-ES"/>
        </w:rPr>
        <w:t xml:space="preserve"> parte de la </w:t>
      </w:r>
      <w:hyperlink r:id="rId4" w:tgtFrame="_blank" w:history="1">
        <w:r w:rsidRPr="00EF275D">
          <w:rPr>
            <w:rFonts w:ascii="Trebuchet MS" w:eastAsia="Times New Roman" w:hAnsi="Trebuchet MS" w:cs="Times New Roman"/>
            <w:i/>
            <w:iCs/>
            <w:sz w:val="20"/>
            <w:u w:val="single"/>
            <w:lang w:val="es-ES" w:eastAsia="es-ES"/>
          </w:rPr>
          <w:t>Directiva 2009/136/CE por la que se modifica la Directiva 2002/58 sobre Privacidad y Comunicaciones Electrónicas</w:t>
        </w:r>
      </w:hyperlink>
      <w:r w:rsidRPr="00EF275D">
        <w:rPr>
          <w:rFonts w:ascii="Trebuchet MS" w:eastAsia="Times New Roman" w:hAnsi="Trebuchet MS" w:cs="Times New Roman"/>
          <w:sz w:val="20"/>
          <w:szCs w:val="20"/>
          <w:lang w:val="es-ES" w:eastAsia="es-ES"/>
        </w:rPr>
        <w:t xml:space="preserve"> (</w:t>
      </w:r>
      <w:hyperlink r:id="rId5" w:tgtFrame="_blank" w:history="1">
        <w:r w:rsidRPr="00EF275D">
          <w:rPr>
            <w:rFonts w:ascii="Trebuchet MS" w:eastAsia="Times New Roman" w:hAnsi="Trebuchet MS" w:cs="Times New Roman"/>
            <w:i/>
            <w:iCs/>
            <w:color w:val="0000FF"/>
            <w:sz w:val="20"/>
            <w:u w:val="single"/>
            <w:lang w:val="es-ES" w:eastAsia="es-ES"/>
          </w:rPr>
          <w:t>http://eur-lex.europa.eu/LexUriServ/LexUriServ.do?uri=OJ:L:2009:337:0011:0036:Es:PDF</w:t>
        </w:r>
      </w:hyperlink>
      <w:r w:rsidRPr="00EF275D">
        <w:rPr>
          <w:rFonts w:ascii="Trebuchet MS" w:eastAsia="Times New Roman" w:hAnsi="Trebuchet MS" w:cs="Times New Roman"/>
          <w:sz w:val="20"/>
          <w:szCs w:val="20"/>
          <w:lang w:val="es-ES" w:eastAsia="es-ES"/>
        </w:rPr>
        <w:t>), en cuyo artículo 5.3 se expone:</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i/>
          <w:iCs/>
          <w:sz w:val="20"/>
          <w:szCs w:val="20"/>
          <w:lang w:val="es-ES" w:eastAsia="es-ES"/>
        </w:rPr>
        <w:t xml:space="preserve">“Los Estados miembros velarán por que únicamente se permita el almacenamiento de información, o la obtención de acceso a la información ya almacenada, en el equipo terminal  de un abonado  o usuario, a condición  de que dicho abonado o usuario </w:t>
      </w:r>
      <w:r w:rsidRPr="00EF275D">
        <w:rPr>
          <w:rFonts w:ascii="Trebuchet MS" w:eastAsia="Times New Roman" w:hAnsi="Trebuchet MS" w:cs="Times New Roman"/>
          <w:b/>
          <w:bCs/>
          <w:i/>
          <w:iCs/>
          <w:sz w:val="20"/>
          <w:szCs w:val="20"/>
          <w:lang w:val="es-ES" w:eastAsia="es-ES"/>
        </w:rPr>
        <w:t>haya dado su consentimiento después de que se le haya facilitado información clara y completa, en particular sobre los fines del tratamiento de los datos</w:t>
      </w:r>
      <w:r w:rsidRPr="00EF275D">
        <w:rPr>
          <w:rFonts w:ascii="Trebuchet MS" w:eastAsia="Times New Roman" w:hAnsi="Trebuchet MS" w:cs="Times New Roman"/>
          <w:i/>
          <w:iCs/>
          <w:sz w:val="20"/>
          <w:szCs w:val="20"/>
          <w:lang w:val="es-ES" w:eastAsia="es-ES"/>
        </w:rPr>
        <w:t>, con arreglo a lo dispuesto en la Directiva 95/46/CE. Lo anterior no impedirá el posible almacenamiento o acceso de índole técnica al solo fin de efectuar la transmisión de una comunicación a través de una red de comunicaciones electrónicas, o en la medida de lo estrictamente necesario a fin de que el proveedor de un servicio de la sociedad de la información preste un servicio expresamente  solicitado por el abonado o el usuario</w:t>
      </w:r>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2.</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¿Cómo se ha adaptado esta Directiva al ordenamiento jurídico español?</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La transposición de la Directiva en España se ha realizado mediante el </w:t>
      </w:r>
      <w:r w:rsidRPr="00EF275D">
        <w:rPr>
          <w:rFonts w:ascii="Trebuchet MS" w:eastAsia="Times New Roman" w:hAnsi="Trebuchet MS" w:cs="Times New Roman"/>
          <w:i/>
          <w:iCs/>
          <w:sz w:val="20"/>
          <w:szCs w:val="20"/>
          <w:lang w:val="es-ES" w:eastAsia="es-ES"/>
        </w:rPr>
        <w:t>Real Decreto-ley 13/2012, de 30 de marzo (</w:t>
      </w:r>
      <w:hyperlink r:id="rId6" w:tgtFrame="_blank" w:history="1">
        <w:r w:rsidRPr="00EF275D">
          <w:rPr>
            <w:rFonts w:ascii="Trebuchet MS" w:eastAsia="Times New Roman" w:hAnsi="Trebuchet MS" w:cs="Times New Roman"/>
            <w:i/>
            <w:iCs/>
            <w:color w:val="0000FF"/>
            <w:sz w:val="20"/>
            <w:u w:val="single"/>
            <w:lang w:val="es-ES" w:eastAsia="es-ES"/>
          </w:rPr>
          <w:t>http://www.boe.es/boe/dias/2012/03/31/pdfs/BOE-A-2012-4442.pdf</w:t>
        </w:r>
      </w:hyperlink>
      <w:r w:rsidRPr="00EF275D">
        <w:rPr>
          <w:rFonts w:ascii="Trebuchet MS" w:eastAsia="Times New Roman" w:hAnsi="Trebuchet MS" w:cs="Times New Roman"/>
          <w:sz w:val="20"/>
          <w:szCs w:val="20"/>
          <w:lang w:val="es-ES" w:eastAsia="es-ES"/>
        </w:rPr>
        <w:t>),</w:t>
      </w:r>
      <w:r w:rsidRPr="00EF275D">
        <w:rPr>
          <w:rFonts w:ascii="Trebuchet MS" w:eastAsia="Times New Roman" w:hAnsi="Trebuchet MS" w:cs="Times New Roman"/>
          <w:i/>
          <w:iCs/>
          <w:sz w:val="20"/>
          <w:szCs w:val="20"/>
          <w:lang w:val="es-ES" w:eastAsia="es-ES"/>
        </w:rPr>
        <w:t xml:space="preserve"> por el que se transponen directivas en materia de mercados interiores de electricidad y gas y en materia de comunicaciones electrónicas</w:t>
      </w:r>
      <w:r w:rsidRPr="00EF275D">
        <w:rPr>
          <w:rFonts w:ascii="Trebuchet MS" w:eastAsia="Times New Roman" w:hAnsi="Trebuchet MS" w:cs="Times New Roman"/>
          <w:sz w:val="20"/>
          <w:szCs w:val="20"/>
          <w:lang w:val="es-ES" w:eastAsia="es-ES"/>
        </w:rPr>
        <w:t xml:space="preserve">… Dicho Real Decreto modifica la </w:t>
      </w:r>
      <w:r w:rsidRPr="00EF275D">
        <w:rPr>
          <w:rFonts w:ascii="Trebuchet MS" w:eastAsia="Times New Roman" w:hAnsi="Trebuchet MS" w:cs="Times New Roman"/>
          <w:i/>
          <w:iCs/>
          <w:sz w:val="20"/>
          <w:szCs w:val="20"/>
          <w:lang w:val="es-ES" w:eastAsia="es-ES"/>
        </w:rPr>
        <w:t>Ley 34/2002, de 11 de julio, de servicios de la sociedad de la información y de comercio electrónico</w:t>
      </w:r>
      <w:r w:rsidRPr="00EF275D">
        <w:rPr>
          <w:rFonts w:ascii="Trebuchet MS" w:eastAsia="Times New Roman" w:hAnsi="Trebuchet MS" w:cs="Times New Roman"/>
          <w:sz w:val="20"/>
          <w:szCs w:val="20"/>
          <w:lang w:val="es-ES" w:eastAsia="es-ES"/>
        </w:rPr>
        <w:t>, cuyo artículo 22.2 quedaría como sigue:</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i/>
          <w:iCs/>
          <w:sz w:val="20"/>
          <w:szCs w:val="20"/>
          <w:lang w:val="es-ES" w:eastAsia="es-ES"/>
        </w:rPr>
        <w:t xml:space="preserve">“Los prestadores de servicios podrán utilizar dispositivos de almacenamiento  y recuperación de datos en equipos terminales de los destinatarios, a condición de que los mismos hayan dado su </w:t>
      </w:r>
      <w:r w:rsidRPr="00EF275D">
        <w:rPr>
          <w:rFonts w:ascii="Trebuchet MS" w:eastAsia="Times New Roman" w:hAnsi="Trebuchet MS" w:cs="Times New Roman"/>
          <w:b/>
          <w:bCs/>
          <w:i/>
          <w:iCs/>
          <w:sz w:val="20"/>
          <w:szCs w:val="20"/>
          <w:lang w:val="es-ES" w:eastAsia="es-ES"/>
        </w:rPr>
        <w:t>consentimiento después de que se les haya facilitado información clara y completa sobre su utilización</w:t>
      </w:r>
      <w:r w:rsidRPr="00EF275D">
        <w:rPr>
          <w:rFonts w:ascii="Trebuchet MS" w:eastAsia="Times New Roman" w:hAnsi="Trebuchet MS" w:cs="Times New Roman"/>
          <w:i/>
          <w:iCs/>
          <w:sz w:val="20"/>
          <w:szCs w:val="20"/>
          <w:lang w:val="es-ES" w:eastAsia="es-ES"/>
        </w:rPr>
        <w:t>, en particular, sobre los fines del tratamiento de los datos, con arreglo a lo dispuesto en la Ley Orgánica 15/1999, de 13 de diciembre, de Protección de Datos de Carácter Personal. Cuando sea técnicamente posible y eficaz, el consentimiento del destinatario para aceptar el tratamiento de los datos podrá facilitarse mediante el uso de los parámetros adecuados del navegador o de otras aplicaciones, siempre que aquél deba proceder a su configuración durante su instalación o actualización mediante una acción expresa a tal efecto. Lo anterior no impedirá el posible almacenamiento o acceso de índole técnica  al solo fin de efectuar la transmisión de una comunicación por una red de comunicaciones electrónicas o, en la medida que resulte estrictamente necesario, para la prestación de un servicio de la sociedad de la información expresamente</w:t>
      </w:r>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br/>
        <w:t xml:space="preserve">Dicho texto ha de ser todavía </w:t>
      </w:r>
      <w:r w:rsidRPr="00EF275D">
        <w:rPr>
          <w:rFonts w:ascii="Trebuchet MS" w:eastAsia="Times New Roman" w:hAnsi="Trebuchet MS" w:cs="Times New Roman"/>
          <w:b/>
          <w:bCs/>
          <w:sz w:val="20"/>
          <w:szCs w:val="20"/>
          <w:lang w:val="es-ES" w:eastAsia="es-ES"/>
        </w:rPr>
        <w:t>convalidado por el Congreso de los Diputados</w:t>
      </w:r>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lastRenderedPageBreak/>
        <w:t>3.</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¿Cuáles son los efectos para la industria publicitaria digital?</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Visto el texto de la transposición de la Directiva, gran parte del problema va a depender de cómo la Administración interprete el modo en que se debe solicitar el consentimiento del consumidor. </w:t>
      </w:r>
    </w:p>
    <w:p w:rsidR="00EF275D" w:rsidRPr="00EF275D" w:rsidRDefault="00EF275D" w:rsidP="00EF275D">
      <w:pPr>
        <w:spacing w:before="100" w:beforeAutospacing="1" w:after="100" w:afterAutospacing="1" w:line="240" w:lineRule="auto"/>
        <w:jc w:val="both"/>
        <w:rPr>
          <w:rFonts w:ascii="Trebuchet MS" w:eastAsia="Times New Roman" w:hAnsi="Trebuchet MS" w:cs="Times New Roman"/>
          <w:sz w:val="20"/>
          <w:szCs w:val="20"/>
          <w:lang w:val="es-ES" w:eastAsia="es-ES"/>
        </w:rPr>
      </w:pPr>
      <w:r w:rsidRPr="00EF275D">
        <w:rPr>
          <w:rFonts w:ascii="Trebuchet MS" w:eastAsia="Times New Roman" w:hAnsi="Trebuchet MS" w:cs="Times New Roman"/>
          <w:sz w:val="20"/>
          <w:szCs w:val="20"/>
          <w:lang w:val="es-ES" w:eastAsia="es-ES"/>
        </w:rPr>
        <w:t xml:space="preserve">En Europa, la Industria publicitaria digital se ha mostrado partidaria de un “consentimiento reforzado” tras facilitar a los consumidores información completa, clara y precisa acerca de la captación y uso de datos de navegación con el objeto de ofrecer publicidad basada en sus intereses. El cumplimiento de dicho “consentimiento reforzado” se plasmó en el lanzamiento de un </w:t>
      </w:r>
      <w:hyperlink r:id="rId7" w:tgtFrame="_blank" w:history="1">
        <w:r w:rsidRPr="00EF275D">
          <w:rPr>
            <w:rFonts w:ascii="Trebuchet MS" w:eastAsia="Times New Roman" w:hAnsi="Trebuchet MS" w:cs="Times New Roman"/>
            <w:sz w:val="20"/>
            <w:u w:val="single"/>
            <w:lang w:val="es-ES" w:eastAsia="es-ES"/>
          </w:rPr>
          <w:t>sistema de autorregulación europeo sobre publicidad comportamental</w:t>
        </w:r>
      </w:hyperlink>
      <w:r w:rsidRPr="00EF275D">
        <w:rPr>
          <w:rFonts w:ascii="Trebuchet MS" w:eastAsia="Times New Roman" w:hAnsi="Trebuchet MS" w:cs="Times New Roman"/>
          <w:sz w:val="20"/>
          <w:szCs w:val="20"/>
          <w:lang w:val="es-ES" w:eastAsia="es-ES"/>
        </w:rPr>
        <w:t>, más conocido en el sector digital como “</w:t>
      </w:r>
      <w:hyperlink r:id="rId8" w:history="1">
        <w:r w:rsidRPr="00EF275D">
          <w:rPr>
            <w:rStyle w:val="Hipervnculo"/>
            <w:rFonts w:ascii="Trebuchet MS" w:eastAsia="Times New Roman" w:hAnsi="Trebuchet MS" w:cs="Times New Roman"/>
            <w:sz w:val="20"/>
            <w:szCs w:val="20"/>
            <w:lang w:val="es-ES" w:eastAsia="es-ES"/>
          </w:rPr>
          <w:t xml:space="preserve">IAB </w:t>
        </w:r>
        <w:proofErr w:type="spellStart"/>
        <w:r w:rsidRPr="00EF275D">
          <w:rPr>
            <w:rStyle w:val="Hipervnculo"/>
            <w:rFonts w:ascii="Trebuchet MS" w:eastAsia="Times New Roman" w:hAnsi="Trebuchet MS" w:cs="Times New Roman"/>
            <w:sz w:val="20"/>
            <w:szCs w:val="20"/>
            <w:lang w:val="es-ES" w:eastAsia="es-ES"/>
          </w:rPr>
          <w:t>Europe</w:t>
        </w:r>
        <w:proofErr w:type="spellEnd"/>
        <w:r w:rsidRPr="00EF275D">
          <w:rPr>
            <w:rStyle w:val="Hipervnculo"/>
            <w:rFonts w:ascii="Trebuchet MS" w:eastAsia="Times New Roman" w:hAnsi="Trebuchet MS" w:cs="Times New Roman"/>
            <w:sz w:val="20"/>
            <w:szCs w:val="20"/>
            <w:lang w:val="es-ES" w:eastAsia="es-ES"/>
          </w:rPr>
          <w:t xml:space="preserve"> OBA Framework</w:t>
        </w:r>
      </w:hyperlink>
      <w:r>
        <w:rPr>
          <w:rFonts w:ascii="Trebuchet MS" w:eastAsia="Times New Roman" w:hAnsi="Trebuchet MS" w:cs="Times New Roman"/>
          <w:sz w:val="20"/>
          <w:szCs w:val="20"/>
          <w:lang w:val="es-ES" w:eastAsia="es-ES"/>
        </w:rPr>
        <w:t>”</w:t>
      </w:r>
      <w:r w:rsidRPr="00EF275D">
        <w:rPr>
          <w:rFonts w:ascii="Trebuchet MS" w:eastAsia="Times New Roman" w:hAnsi="Trebuchet MS" w:cs="Times New Roman"/>
          <w:i/>
          <w:iCs/>
          <w:sz w:val="20"/>
          <w:szCs w:val="20"/>
          <w:lang w:val="es-ES" w:eastAsia="es-ES"/>
        </w:rPr>
        <w:t xml:space="preserve">, </w:t>
      </w:r>
      <w:r w:rsidRPr="00EF275D">
        <w:rPr>
          <w:rFonts w:ascii="Trebuchet MS" w:eastAsia="Times New Roman" w:hAnsi="Trebuchet MS" w:cs="Times New Roman"/>
          <w:sz w:val="20"/>
          <w:szCs w:val="20"/>
          <w:lang w:val="es-ES" w:eastAsia="es-ES"/>
        </w:rPr>
        <w:t>en abril de 2011.</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Dicha iniciativa se completó con el lanzamiento de una web a nivel europeo para la gestión de las preferencias de privacidad por parte del consumidor: </w:t>
      </w:r>
      <w:hyperlink r:id="rId9" w:tgtFrame="_blank" w:history="1">
        <w:r w:rsidRPr="00EF275D">
          <w:rPr>
            <w:rFonts w:ascii="Trebuchet MS" w:eastAsia="Times New Roman" w:hAnsi="Trebuchet MS" w:cs="Times New Roman"/>
            <w:i/>
            <w:iCs/>
            <w:color w:val="0000FF"/>
            <w:sz w:val="20"/>
            <w:u w:val="single"/>
            <w:lang w:val="es-ES" w:eastAsia="es-ES"/>
          </w:rPr>
          <w:t>www.youronlinechoices.eu</w:t>
        </w:r>
      </w:hyperlink>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4.</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 xml:space="preserve">¿Qué es </w:t>
      </w:r>
      <w:hyperlink r:id="rId10" w:tgtFrame="_blank" w:history="1">
        <w:r w:rsidRPr="00EF275D">
          <w:rPr>
            <w:rFonts w:ascii="Trebuchet MS" w:eastAsia="Times New Roman" w:hAnsi="Trebuchet MS" w:cs="Times New Roman"/>
            <w:b/>
            <w:bCs/>
            <w:color w:val="0070C0"/>
            <w:sz w:val="20"/>
            <w:lang w:val="es-ES" w:eastAsia="es-ES"/>
          </w:rPr>
          <w:t>www.youronlinechoices.eu</w:t>
        </w:r>
      </w:hyperlink>
      <w:r w:rsidRPr="00EF275D">
        <w:rPr>
          <w:rFonts w:ascii="Trebuchet MS" w:eastAsia="Times New Roman" w:hAnsi="Trebuchet MS" w:cs="Times New Roman"/>
          <w:b/>
          <w:bCs/>
          <w:color w:val="0070C0"/>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Esta página web aporta información en múltiples idiomas sobre la publicidad basada en comportamiento, cómo funciona, qué datos se usan, ventajas, amenazas, qué es una cookie y cómo funciona y consejos fundamentales. Además incorpora una </w:t>
      </w:r>
      <w:r w:rsidRPr="00EF275D">
        <w:rPr>
          <w:rFonts w:ascii="Trebuchet MS" w:eastAsia="Times New Roman" w:hAnsi="Trebuchet MS" w:cs="Times New Roman"/>
          <w:b/>
          <w:bCs/>
          <w:sz w:val="20"/>
          <w:szCs w:val="20"/>
          <w:lang w:val="es-ES" w:eastAsia="es-ES"/>
        </w:rPr>
        <w:t>herramienta para gestionar las preferencias de los consumidores</w:t>
      </w:r>
      <w:r w:rsidRPr="00EF275D">
        <w:rPr>
          <w:rFonts w:ascii="Trebuchet MS" w:eastAsia="Times New Roman" w:hAnsi="Trebuchet MS" w:cs="Times New Roman"/>
          <w:sz w:val="20"/>
          <w:szCs w:val="20"/>
          <w:lang w:val="es-ES" w:eastAsia="es-ES"/>
        </w:rPr>
        <w:t>, incluyendo la opción de darse de baja de forma sencilla de sistemas de publicidad basada en el comportamiento.</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5.</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¿Cómo se puede adherir mi empresa al sistema de autorregulación europeo?</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Actualmente hay 112 compañías adheridas al código de autorregulación del sector en relación con la publicidad </w:t>
      </w:r>
      <w:proofErr w:type="spellStart"/>
      <w:r w:rsidRPr="00EF275D">
        <w:rPr>
          <w:rFonts w:ascii="Trebuchet MS" w:eastAsia="Times New Roman" w:hAnsi="Trebuchet MS" w:cs="Times New Roman"/>
          <w:sz w:val="20"/>
          <w:szCs w:val="20"/>
          <w:lang w:val="es-ES" w:eastAsia="es-ES"/>
        </w:rPr>
        <w:t>comportamental</w:t>
      </w:r>
      <w:proofErr w:type="spellEnd"/>
      <w:r w:rsidRPr="00EF275D">
        <w:rPr>
          <w:rFonts w:ascii="Trebuchet MS" w:eastAsia="Times New Roman" w:hAnsi="Trebuchet MS" w:cs="Times New Roman"/>
          <w:sz w:val="20"/>
          <w:szCs w:val="20"/>
          <w:lang w:val="es-ES" w:eastAsia="es-ES"/>
        </w:rPr>
        <w:t>. Para adherirse a este sistema es preciso escribir a</w:t>
      </w:r>
      <w:r w:rsidRPr="00EF275D">
        <w:rPr>
          <w:rFonts w:ascii="Trebuchet MS" w:eastAsia="Times New Roman" w:hAnsi="Trebuchet MS" w:cs="Times New Roman"/>
          <w:color w:val="FF0000"/>
          <w:sz w:val="20"/>
          <w:szCs w:val="20"/>
          <w:lang w:val="es-ES" w:eastAsia="es-ES"/>
        </w:rPr>
        <w:t xml:space="preserve"> </w:t>
      </w:r>
      <w:hyperlink r:id="rId11" w:tgtFrame="_blank" w:history="1">
        <w:r w:rsidRPr="00EF275D">
          <w:rPr>
            <w:rFonts w:ascii="Trebuchet MS" w:eastAsia="Times New Roman" w:hAnsi="Trebuchet MS" w:cs="Times New Roman"/>
            <w:i/>
            <w:iCs/>
            <w:color w:val="0000FF"/>
            <w:sz w:val="20"/>
            <w:u w:val="single"/>
            <w:lang w:val="es-ES" w:eastAsia="es-ES"/>
          </w:rPr>
          <w:t>training@iabeurope.eu</w:t>
        </w:r>
      </w:hyperlink>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6.</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¿Qué Asociaciones están liderando este asunto?</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A nivel europeo, IAB </w:t>
      </w:r>
      <w:proofErr w:type="spellStart"/>
      <w:r w:rsidRPr="00EF275D">
        <w:rPr>
          <w:rFonts w:ascii="Trebuchet MS" w:eastAsia="Times New Roman" w:hAnsi="Trebuchet MS" w:cs="Times New Roman"/>
          <w:sz w:val="20"/>
          <w:szCs w:val="20"/>
          <w:lang w:val="es-ES" w:eastAsia="es-ES"/>
        </w:rPr>
        <w:t>Europe</w:t>
      </w:r>
      <w:proofErr w:type="spellEnd"/>
      <w:r w:rsidRPr="00EF275D">
        <w:rPr>
          <w:rFonts w:ascii="Trebuchet MS" w:eastAsia="Times New Roman" w:hAnsi="Trebuchet MS" w:cs="Times New Roman"/>
          <w:sz w:val="20"/>
          <w:szCs w:val="20"/>
          <w:lang w:val="es-ES" w:eastAsia="es-ES"/>
        </w:rPr>
        <w:t>, como representante de la industria digital, y EASA (</w:t>
      </w:r>
      <w:proofErr w:type="spellStart"/>
      <w:r w:rsidRPr="00EF275D">
        <w:rPr>
          <w:rFonts w:ascii="Trebuchet MS" w:eastAsia="Times New Roman" w:hAnsi="Trebuchet MS" w:cs="Times New Roman"/>
          <w:sz w:val="20"/>
          <w:szCs w:val="20"/>
          <w:lang w:val="es-ES" w:eastAsia="es-ES"/>
        </w:rPr>
        <w:t>European</w:t>
      </w:r>
      <w:proofErr w:type="spellEnd"/>
      <w:r w:rsidRPr="00EF275D">
        <w:rPr>
          <w:rFonts w:ascii="Trebuchet MS" w:eastAsia="Times New Roman" w:hAnsi="Trebuchet MS" w:cs="Times New Roman"/>
          <w:sz w:val="20"/>
          <w:szCs w:val="20"/>
          <w:lang w:val="es-ES" w:eastAsia="es-ES"/>
        </w:rPr>
        <w:t xml:space="preserve"> </w:t>
      </w:r>
      <w:proofErr w:type="spellStart"/>
      <w:r w:rsidRPr="00EF275D">
        <w:rPr>
          <w:rFonts w:ascii="Trebuchet MS" w:eastAsia="Times New Roman" w:hAnsi="Trebuchet MS" w:cs="Times New Roman"/>
          <w:sz w:val="20"/>
          <w:szCs w:val="20"/>
          <w:lang w:val="es-ES" w:eastAsia="es-ES"/>
        </w:rPr>
        <w:t>Advertising</w:t>
      </w:r>
      <w:proofErr w:type="spellEnd"/>
      <w:r w:rsidRPr="00EF275D">
        <w:rPr>
          <w:rFonts w:ascii="Trebuchet MS" w:eastAsia="Times New Roman" w:hAnsi="Trebuchet MS" w:cs="Times New Roman"/>
          <w:sz w:val="20"/>
          <w:szCs w:val="20"/>
          <w:lang w:val="es-ES" w:eastAsia="es-ES"/>
        </w:rPr>
        <w:t xml:space="preserve"> Standard Alliance – la Asociación europea que reúne a las Asociaciones de </w:t>
      </w:r>
      <w:proofErr w:type="spellStart"/>
      <w:r w:rsidRPr="00EF275D">
        <w:rPr>
          <w:rFonts w:ascii="Trebuchet MS" w:eastAsia="Times New Roman" w:hAnsi="Trebuchet MS" w:cs="Times New Roman"/>
          <w:sz w:val="20"/>
          <w:szCs w:val="20"/>
          <w:lang w:val="es-ES" w:eastAsia="es-ES"/>
        </w:rPr>
        <w:t>Aurorregulación</w:t>
      </w:r>
      <w:proofErr w:type="spellEnd"/>
      <w:r w:rsidRPr="00EF275D">
        <w:rPr>
          <w:rFonts w:ascii="Trebuchet MS" w:eastAsia="Times New Roman" w:hAnsi="Trebuchet MS" w:cs="Times New Roman"/>
          <w:sz w:val="20"/>
          <w:szCs w:val="20"/>
          <w:lang w:val="es-ES" w:eastAsia="es-ES"/>
        </w:rPr>
        <w:t>), han liderado las relaciones con la Comisión Europea, con el apoyo de la WFA (</w:t>
      </w:r>
      <w:proofErr w:type="spellStart"/>
      <w:r w:rsidRPr="00EF275D">
        <w:rPr>
          <w:rFonts w:ascii="Trebuchet MS" w:eastAsia="Times New Roman" w:hAnsi="Trebuchet MS" w:cs="Times New Roman"/>
          <w:sz w:val="20"/>
          <w:szCs w:val="20"/>
          <w:lang w:val="es-ES" w:eastAsia="es-ES"/>
        </w:rPr>
        <w:t>World</w:t>
      </w:r>
      <w:proofErr w:type="spellEnd"/>
      <w:r w:rsidRPr="00EF275D">
        <w:rPr>
          <w:rFonts w:ascii="Trebuchet MS" w:eastAsia="Times New Roman" w:hAnsi="Trebuchet MS" w:cs="Times New Roman"/>
          <w:sz w:val="20"/>
          <w:szCs w:val="20"/>
          <w:lang w:val="es-ES" w:eastAsia="es-ES"/>
        </w:rPr>
        <w:t xml:space="preserve"> </w:t>
      </w:r>
      <w:proofErr w:type="spellStart"/>
      <w:r w:rsidRPr="00EF275D">
        <w:rPr>
          <w:rFonts w:ascii="Trebuchet MS" w:eastAsia="Times New Roman" w:hAnsi="Trebuchet MS" w:cs="Times New Roman"/>
          <w:sz w:val="20"/>
          <w:szCs w:val="20"/>
          <w:lang w:val="es-ES" w:eastAsia="es-ES"/>
        </w:rPr>
        <w:t>Federation</w:t>
      </w:r>
      <w:proofErr w:type="spellEnd"/>
      <w:r w:rsidRPr="00EF275D">
        <w:rPr>
          <w:rFonts w:ascii="Trebuchet MS" w:eastAsia="Times New Roman" w:hAnsi="Trebuchet MS" w:cs="Times New Roman"/>
          <w:sz w:val="20"/>
          <w:szCs w:val="20"/>
          <w:lang w:val="es-ES" w:eastAsia="es-ES"/>
        </w:rPr>
        <w:t xml:space="preserve"> of </w:t>
      </w:r>
      <w:proofErr w:type="spellStart"/>
      <w:r w:rsidRPr="00EF275D">
        <w:rPr>
          <w:rFonts w:ascii="Trebuchet MS" w:eastAsia="Times New Roman" w:hAnsi="Trebuchet MS" w:cs="Times New Roman"/>
          <w:sz w:val="20"/>
          <w:szCs w:val="20"/>
          <w:lang w:val="es-ES" w:eastAsia="es-ES"/>
        </w:rPr>
        <w:t>Advertisers</w:t>
      </w:r>
      <w:proofErr w:type="spellEnd"/>
      <w:r w:rsidRPr="00EF275D">
        <w:rPr>
          <w:rFonts w:ascii="Trebuchet MS" w:eastAsia="Times New Roman" w:hAnsi="Trebuchet MS" w:cs="Times New Roman"/>
          <w:sz w:val="20"/>
          <w:szCs w:val="20"/>
          <w:lang w:val="es-ES" w:eastAsia="es-ES"/>
        </w:rPr>
        <w:t>) entre otras Asociaciones del sector.</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En España se ha seguido el mismo modelo que en Europa. IAB </w:t>
      </w:r>
      <w:proofErr w:type="spellStart"/>
      <w:r w:rsidRPr="00EF275D">
        <w:rPr>
          <w:rFonts w:ascii="Trebuchet MS" w:eastAsia="Times New Roman" w:hAnsi="Trebuchet MS" w:cs="Times New Roman"/>
          <w:sz w:val="20"/>
          <w:szCs w:val="20"/>
          <w:lang w:val="es-ES" w:eastAsia="es-ES"/>
        </w:rPr>
        <w:t>Spain</w:t>
      </w:r>
      <w:proofErr w:type="spellEnd"/>
      <w:r w:rsidRPr="00EF275D">
        <w:rPr>
          <w:rFonts w:ascii="Trebuchet MS" w:eastAsia="Times New Roman" w:hAnsi="Trebuchet MS" w:cs="Times New Roman"/>
          <w:sz w:val="20"/>
          <w:szCs w:val="20"/>
          <w:lang w:val="es-ES" w:eastAsia="es-ES"/>
        </w:rPr>
        <w:t>, como representante del sector digital, y Autocontrol, como la Asociación para la Autorregulación publicitaria, son las que han mantenido el contacto necesario tanto con la Agencia Española de Protección de Datos (AEPD) como con el Ministerio de Industria. En nuestro país también hemos contado con el apoyo de la Asociación Española de Anunciantes (</w:t>
      </w:r>
      <w:proofErr w:type="spellStart"/>
      <w:r w:rsidRPr="00EF275D">
        <w:rPr>
          <w:rFonts w:ascii="Trebuchet MS" w:eastAsia="Times New Roman" w:hAnsi="Trebuchet MS" w:cs="Times New Roman"/>
          <w:sz w:val="20"/>
          <w:szCs w:val="20"/>
          <w:lang w:val="es-ES" w:eastAsia="es-ES"/>
        </w:rPr>
        <w:t>aea</w:t>
      </w:r>
      <w:proofErr w:type="spellEnd"/>
      <w:r w:rsidRPr="00EF275D">
        <w:rPr>
          <w:rFonts w:ascii="Trebuchet MS" w:eastAsia="Times New Roman" w:hAnsi="Trebuchet MS" w:cs="Times New Roman"/>
          <w:sz w:val="20"/>
          <w:szCs w:val="20"/>
          <w:lang w:val="es-ES" w:eastAsia="es-ES"/>
        </w:rPr>
        <w:t>) y la colaboración de otras Asociaciones sectoriales, todas ellas integrantes de la Comisión de Privacidad organizada por IAB.</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7.</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¿Cuál es la postura de la Administración?</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La Administración europea ha expresado en diversas ocasiones su buena disposición hacia los esfuerzos de la Industria por </w:t>
      </w:r>
      <w:proofErr w:type="spellStart"/>
      <w:r w:rsidRPr="00EF275D">
        <w:rPr>
          <w:rFonts w:ascii="Trebuchet MS" w:eastAsia="Times New Roman" w:hAnsi="Trebuchet MS" w:cs="Times New Roman"/>
          <w:sz w:val="20"/>
          <w:szCs w:val="20"/>
          <w:lang w:val="es-ES" w:eastAsia="es-ES"/>
        </w:rPr>
        <w:t>autorregular</w:t>
      </w:r>
      <w:proofErr w:type="spellEnd"/>
      <w:r w:rsidRPr="00EF275D">
        <w:rPr>
          <w:rFonts w:ascii="Trebuchet MS" w:eastAsia="Times New Roman" w:hAnsi="Trebuchet MS" w:cs="Times New Roman"/>
          <w:sz w:val="20"/>
          <w:szCs w:val="20"/>
          <w:lang w:val="es-ES" w:eastAsia="es-ES"/>
        </w:rPr>
        <w:t xml:space="preserve"> la actividad de captación de datos de navegación para ser utilizados en publicidad </w:t>
      </w:r>
      <w:proofErr w:type="spellStart"/>
      <w:r w:rsidRPr="00EF275D">
        <w:rPr>
          <w:rFonts w:ascii="Trebuchet MS" w:eastAsia="Times New Roman" w:hAnsi="Trebuchet MS" w:cs="Times New Roman"/>
          <w:sz w:val="20"/>
          <w:szCs w:val="20"/>
          <w:lang w:val="es-ES" w:eastAsia="es-ES"/>
        </w:rPr>
        <w:t>comportamental</w:t>
      </w:r>
      <w:proofErr w:type="spellEnd"/>
      <w:r w:rsidRPr="00EF275D">
        <w:rPr>
          <w:rFonts w:ascii="Trebuchet MS" w:eastAsia="Times New Roman" w:hAnsi="Trebuchet MS" w:cs="Times New Roman"/>
          <w:sz w:val="20"/>
          <w:szCs w:val="20"/>
          <w:lang w:val="es-ES" w:eastAsia="es-ES"/>
        </w:rPr>
        <w:t>. Mientras, las Agencias de Protección de Datos europeas, reunidas en el llamado “Grupo del Artículo 29”, demandan una acción más clara con vistas a recabar el consentimiento del consumidor a través de una “acción positiva” por parte del mismo.</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lastRenderedPageBreak/>
        <w:t>8.</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¿Por dónde pasa la solución?</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La solución pasaría por incrementar el nivel de decisión del consumidor a través de una acción positiva por su parte. Parte de dicha solución podría conseguirse con una función de “</w:t>
      </w:r>
      <w:r w:rsidRPr="00EF275D">
        <w:rPr>
          <w:rFonts w:ascii="Trebuchet MS" w:eastAsia="Times New Roman" w:hAnsi="Trebuchet MS" w:cs="Times New Roman"/>
          <w:i/>
          <w:iCs/>
          <w:sz w:val="20"/>
          <w:szCs w:val="20"/>
          <w:lang w:val="es-ES" w:eastAsia="es-ES"/>
        </w:rPr>
        <w:t xml:space="preserve">Do </w:t>
      </w:r>
      <w:proofErr w:type="spellStart"/>
      <w:r w:rsidRPr="00EF275D">
        <w:rPr>
          <w:rFonts w:ascii="Trebuchet MS" w:eastAsia="Times New Roman" w:hAnsi="Trebuchet MS" w:cs="Times New Roman"/>
          <w:i/>
          <w:iCs/>
          <w:sz w:val="20"/>
          <w:szCs w:val="20"/>
          <w:lang w:val="es-ES" w:eastAsia="es-ES"/>
        </w:rPr>
        <w:t>Not</w:t>
      </w:r>
      <w:proofErr w:type="spellEnd"/>
      <w:r w:rsidRPr="00EF275D">
        <w:rPr>
          <w:rFonts w:ascii="Trebuchet MS" w:eastAsia="Times New Roman" w:hAnsi="Trebuchet MS" w:cs="Times New Roman"/>
          <w:i/>
          <w:iCs/>
          <w:sz w:val="20"/>
          <w:szCs w:val="20"/>
          <w:lang w:val="es-ES" w:eastAsia="es-ES"/>
        </w:rPr>
        <w:t xml:space="preserve"> </w:t>
      </w:r>
      <w:proofErr w:type="spellStart"/>
      <w:r w:rsidRPr="00EF275D">
        <w:rPr>
          <w:rFonts w:ascii="Trebuchet MS" w:eastAsia="Times New Roman" w:hAnsi="Trebuchet MS" w:cs="Times New Roman"/>
          <w:i/>
          <w:iCs/>
          <w:sz w:val="20"/>
          <w:szCs w:val="20"/>
          <w:lang w:val="es-ES" w:eastAsia="es-ES"/>
        </w:rPr>
        <w:t>Track</w:t>
      </w:r>
      <w:proofErr w:type="spellEnd"/>
      <w:r w:rsidRPr="00EF275D">
        <w:rPr>
          <w:rFonts w:ascii="Trebuchet MS" w:eastAsia="Times New Roman" w:hAnsi="Trebuchet MS" w:cs="Times New Roman"/>
          <w:sz w:val="20"/>
          <w:szCs w:val="20"/>
          <w:lang w:val="es-ES" w:eastAsia="es-ES"/>
        </w:rPr>
        <w:t>” (No rastreo) en los navegadores, la cual podría contar, según la experiencia internacional de IAB, con el visto bueno tanto de la administración como de las agencias de protección de datos. En cualquier caso, todo dependerá de la interpretación de la ley por parte de la Administración.</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9.</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 xml:space="preserve">¿Qué es el “Do </w:t>
      </w:r>
      <w:proofErr w:type="spellStart"/>
      <w:r w:rsidRPr="00EF275D">
        <w:rPr>
          <w:rFonts w:ascii="Trebuchet MS" w:eastAsia="Times New Roman" w:hAnsi="Trebuchet MS" w:cs="Times New Roman"/>
          <w:b/>
          <w:bCs/>
          <w:color w:val="0070C0"/>
          <w:sz w:val="20"/>
          <w:szCs w:val="20"/>
          <w:lang w:val="es-ES" w:eastAsia="es-ES"/>
        </w:rPr>
        <w:t>not</w:t>
      </w:r>
      <w:proofErr w:type="spellEnd"/>
      <w:r w:rsidRPr="00EF275D">
        <w:rPr>
          <w:rFonts w:ascii="Trebuchet MS" w:eastAsia="Times New Roman" w:hAnsi="Trebuchet MS" w:cs="Times New Roman"/>
          <w:b/>
          <w:bCs/>
          <w:color w:val="0070C0"/>
          <w:sz w:val="20"/>
          <w:szCs w:val="20"/>
          <w:lang w:val="es-ES" w:eastAsia="es-ES"/>
        </w:rPr>
        <w:t xml:space="preserve"> </w:t>
      </w:r>
      <w:proofErr w:type="spellStart"/>
      <w:r w:rsidRPr="00EF275D">
        <w:rPr>
          <w:rFonts w:ascii="Trebuchet MS" w:eastAsia="Times New Roman" w:hAnsi="Trebuchet MS" w:cs="Times New Roman"/>
          <w:b/>
          <w:bCs/>
          <w:color w:val="0070C0"/>
          <w:sz w:val="20"/>
          <w:szCs w:val="20"/>
          <w:lang w:val="es-ES" w:eastAsia="es-ES"/>
        </w:rPr>
        <w:t>track</w:t>
      </w:r>
      <w:proofErr w:type="spellEnd"/>
      <w:r w:rsidRPr="00EF275D">
        <w:rPr>
          <w:rFonts w:ascii="Trebuchet MS" w:eastAsia="Times New Roman" w:hAnsi="Trebuchet MS" w:cs="Times New Roman"/>
          <w:b/>
          <w:bCs/>
          <w:color w:val="0070C0"/>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Se trata de que un determinado navegador no acepte </w:t>
      </w:r>
      <w:r w:rsidRPr="00EF275D">
        <w:rPr>
          <w:rFonts w:ascii="Trebuchet MS" w:eastAsia="Times New Roman" w:hAnsi="Trebuchet MS" w:cs="Times New Roman"/>
          <w:i/>
          <w:iCs/>
          <w:sz w:val="20"/>
          <w:szCs w:val="20"/>
          <w:lang w:val="es-ES" w:eastAsia="es-ES"/>
        </w:rPr>
        <w:t>cookies</w:t>
      </w:r>
      <w:r w:rsidRPr="00EF275D">
        <w:rPr>
          <w:rFonts w:ascii="Trebuchet MS" w:eastAsia="Times New Roman" w:hAnsi="Trebuchet MS" w:cs="Times New Roman"/>
          <w:sz w:val="20"/>
          <w:szCs w:val="20"/>
          <w:lang w:val="es-ES" w:eastAsia="es-ES"/>
        </w:rPr>
        <w:t xml:space="preserve"> de seguimiento con el fin de ser utilizadas en publicidad </w:t>
      </w:r>
      <w:proofErr w:type="spellStart"/>
      <w:r w:rsidRPr="00EF275D">
        <w:rPr>
          <w:rFonts w:ascii="Trebuchet MS" w:eastAsia="Times New Roman" w:hAnsi="Trebuchet MS" w:cs="Times New Roman"/>
          <w:sz w:val="20"/>
          <w:szCs w:val="20"/>
          <w:lang w:val="es-ES" w:eastAsia="es-ES"/>
        </w:rPr>
        <w:t>comportamental</w:t>
      </w:r>
      <w:proofErr w:type="spellEnd"/>
      <w:r w:rsidRPr="00EF275D">
        <w:rPr>
          <w:rFonts w:ascii="Trebuchet MS" w:eastAsia="Times New Roman" w:hAnsi="Trebuchet MS" w:cs="Times New Roman"/>
          <w:sz w:val="20"/>
          <w:szCs w:val="20"/>
          <w:lang w:val="es-ES" w:eastAsia="es-ES"/>
        </w:rPr>
        <w:t xml:space="preserve">. Dicha opción debería ser fácilmente identificable por parte del consumidor. Esta es, previsiblemente, la vía que se seguiría en Estados Unidos después de que la Federal </w:t>
      </w:r>
      <w:proofErr w:type="spellStart"/>
      <w:r w:rsidRPr="00EF275D">
        <w:rPr>
          <w:rFonts w:ascii="Trebuchet MS" w:eastAsia="Times New Roman" w:hAnsi="Trebuchet MS" w:cs="Times New Roman"/>
          <w:sz w:val="20"/>
          <w:szCs w:val="20"/>
          <w:lang w:val="es-ES" w:eastAsia="es-ES"/>
        </w:rPr>
        <w:t>Trade</w:t>
      </w:r>
      <w:proofErr w:type="spellEnd"/>
      <w:r w:rsidRPr="00EF275D">
        <w:rPr>
          <w:rFonts w:ascii="Trebuchet MS" w:eastAsia="Times New Roman" w:hAnsi="Trebuchet MS" w:cs="Times New Roman"/>
          <w:sz w:val="20"/>
          <w:szCs w:val="20"/>
          <w:lang w:val="es-ES" w:eastAsia="es-ES"/>
        </w:rPr>
        <w:t xml:space="preserve"> </w:t>
      </w:r>
      <w:proofErr w:type="spellStart"/>
      <w:r w:rsidRPr="00EF275D">
        <w:rPr>
          <w:rFonts w:ascii="Trebuchet MS" w:eastAsia="Times New Roman" w:hAnsi="Trebuchet MS" w:cs="Times New Roman"/>
          <w:sz w:val="20"/>
          <w:szCs w:val="20"/>
          <w:lang w:val="es-ES" w:eastAsia="es-ES"/>
        </w:rPr>
        <w:t>Commission</w:t>
      </w:r>
      <w:proofErr w:type="spellEnd"/>
      <w:r w:rsidRPr="00EF275D">
        <w:rPr>
          <w:rFonts w:ascii="Trebuchet MS" w:eastAsia="Times New Roman" w:hAnsi="Trebuchet MS" w:cs="Times New Roman"/>
          <w:sz w:val="20"/>
          <w:szCs w:val="20"/>
          <w:lang w:val="es-ES" w:eastAsia="es-ES"/>
        </w:rPr>
        <w:t xml:space="preserve"> emitiera en marzo de 201</w:t>
      </w:r>
      <w:r w:rsidRPr="00EF275D">
        <w:rPr>
          <w:rFonts w:ascii="Trebuchet MS" w:eastAsia="Times New Roman" w:hAnsi="Trebuchet MS" w:cs="Times New Roman"/>
          <w:i/>
          <w:iCs/>
          <w:sz w:val="20"/>
          <w:szCs w:val="20"/>
          <w:lang w:val="es-ES" w:eastAsia="es-ES"/>
        </w:rPr>
        <w:t xml:space="preserve">2 </w:t>
      </w:r>
      <w:r w:rsidRPr="00EF275D">
        <w:rPr>
          <w:rFonts w:ascii="Trebuchet MS" w:eastAsia="Times New Roman" w:hAnsi="Trebuchet MS" w:cs="Times New Roman"/>
          <w:sz w:val="20"/>
          <w:szCs w:val="20"/>
          <w:lang w:val="es-ES" w:eastAsia="es-ES"/>
        </w:rPr>
        <w:t xml:space="preserve">un </w:t>
      </w:r>
      <w:hyperlink r:id="rId12" w:tgtFrame="_blank" w:history="1">
        <w:r w:rsidRPr="00EF275D">
          <w:rPr>
            <w:rFonts w:ascii="Trebuchet MS" w:eastAsia="Times New Roman" w:hAnsi="Trebuchet MS" w:cs="Times New Roman"/>
            <w:b/>
            <w:sz w:val="20"/>
            <w:lang w:val="es-ES" w:eastAsia="es-ES"/>
          </w:rPr>
          <w:t>informe sobre privacidad</w:t>
        </w:r>
      </w:hyperlink>
      <w:r>
        <w:rPr>
          <w:rFonts w:ascii="Trebuchet MS" w:eastAsia="Times New Roman" w:hAnsi="Trebuchet MS" w:cs="Times New Roman"/>
          <w:b/>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Asimismo, esta iniciativa está siendo tratada en la actualidad por el </w:t>
      </w:r>
      <w:r w:rsidRPr="00EF275D">
        <w:rPr>
          <w:rFonts w:ascii="Trebuchet MS" w:eastAsia="Times New Roman" w:hAnsi="Trebuchet MS" w:cs="Times New Roman"/>
          <w:i/>
          <w:iCs/>
          <w:sz w:val="20"/>
          <w:szCs w:val="20"/>
          <w:lang w:val="es-ES" w:eastAsia="es-ES"/>
        </w:rPr>
        <w:t xml:space="preserve">Tracking </w:t>
      </w:r>
      <w:proofErr w:type="spellStart"/>
      <w:r w:rsidRPr="00EF275D">
        <w:rPr>
          <w:rFonts w:ascii="Trebuchet MS" w:eastAsia="Times New Roman" w:hAnsi="Trebuchet MS" w:cs="Times New Roman"/>
          <w:i/>
          <w:iCs/>
          <w:sz w:val="20"/>
          <w:szCs w:val="20"/>
          <w:lang w:val="es-ES" w:eastAsia="es-ES"/>
        </w:rPr>
        <w:t>Protection</w:t>
      </w:r>
      <w:proofErr w:type="spellEnd"/>
      <w:r w:rsidRPr="00EF275D">
        <w:rPr>
          <w:rFonts w:ascii="Trebuchet MS" w:eastAsia="Times New Roman" w:hAnsi="Trebuchet MS" w:cs="Times New Roman"/>
          <w:i/>
          <w:iCs/>
          <w:sz w:val="20"/>
          <w:szCs w:val="20"/>
          <w:lang w:val="es-ES" w:eastAsia="es-ES"/>
        </w:rPr>
        <w:t xml:space="preserve"> </w:t>
      </w:r>
      <w:proofErr w:type="spellStart"/>
      <w:r w:rsidRPr="00EF275D">
        <w:rPr>
          <w:rFonts w:ascii="Trebuchet MS" w:eastAsia="Times New Roman" w:hAnsi="Trebuchet MS" w:cs="Times New Roman"/>
          <w:i/>
          <w:iCs/>
          <w:sz w:val="20"/>
          <w:szCs w:val="20"/>
          <w:lang w:val="es-ES" w:eastAsia="es-ES"/>
        </w:rPr>
        <w:t>Working</w:t>
      </w:r>
      <w:proofErr w:type="spellEnd"/>
      <w:r w:rsidRPr="00EF275D">
        <w:rPr>
          <w:rFonts w:ascii="Trebuchet MS" w:eastAsia="Times New Roman" w:hAnsi="Trebuchet MS" w:cs="Times New Roman"/>
          <w:i/>
          <w:iCs/>
          <w:sz w:val="20"/>
          <w:szCs w:val="20"/>
          <w:lang w:val="es-ES" w:eastAsia="es-ES"/>
        </w:rPr>
        <w:t xml:space="preserve"> </w:t>
      </w:r>
      <w:proofErr w:type="spellStart"/>
      <w:r w:rsidRPr="00EF275D">
        <w:rPr>
          <w:rFonts w:ascii="Trebuchet MS" w:eastAsia="Times New Roman" w:hAnsi="Trebuchet MS" w:cs="Times New Roman"/>
          <w:i/>
          <w:iCs/>
          <w:sz w:val="20"/>
          <w:szCs w:val="20"/>
          <w:lang w:val="es-ES" w:eastAsia="es-ES"/>
        </w:rPr>
        <w:t>Group</w:t>
      </w:r>
      <w:proofErr w:type="spellEnd"/>
      <w:r w:rsidRPr="00EF275D">
        <w:rPr>
          <w:rFonts w:ascii="Trebuchet MS" w:eastAsia="Times New Roman" w:hAnsi="Trebuchet MS" w:cs="Times New Roman"/>
          <w:sz w:val="20"/>
          <w:szCs w:val="20"/>
          <w:lang w:val="es-ES" w:eastAsia="es-ES"/>
        </w:rPr>
        <w:t xml:space="preserve"> de la </w:t>
      </w:r>
      <w:hyperlink r:id="rId13" w:history="1">
        <w:r w:rsidRPr="00EF275D">
          <w:rPr>
            <w:rStyle w:val="Hipervnculo"/>
            <w:rFonts w:ascii="Trebuchet MS" w:eastAsia="Times New Roman" w:hAnsi="Trebuchet MS" w:cs="Times New Roman"/>
            <w:sz w:val="20"/>
            <w:szCs w:val="20"/>
            <w:lang w:val="es-ES" w:eastAsia="es-ES"/>
          </w:rPr>
          <w:t xml:space="preserve">World </w:t>
        </w:r>
        <w:proofErr w:type="spellStart"/>
        <w:r w:rsidRPr="00EF275D">
          <w:rPr>
            <w:rStyle w:val="Hipervnculo"/>
            <w:rFonts w:ascii="Trebuchet MS" w:eastAsia="Times New Roman" w:hAnsi="Trebuchet MS" w:cs="Times New Roman"/>
            <w:sz w:val="20"/>
            <w:szCs w:val="20"/>
            <w:lang w:val="es-ES" w:eastAsia="es-ES"/>
          </w:rPr>
          <w:t>Wide</w:t>
        </w:r>
        <w:proofErr w:type="spellEnd"/>
        <w:r w:rsidRPr="00EF275D">
          <w:rPr>
            <w:rStyle w:val="Hipervnculo"/>
            <w:rFonts w:ascii="Trebuchet MS" w:eastAsia="Times New Roman" w:hAnsi="Trebuchet MS" w:cs="Times New Roman"/>
            <w:sz w:val="20"/>
            <w:szCs w:val="20"/>
            <w:lang w:val="es-ES" w:eastAsia="es-ES"/>
          </w:rPr>
          <w:t xml:space="preserve"> Web </w:t>
        </w:r>
        <w:proofErr w:type="spellStart"/>
        <w:r w:rsidRPr="00EF275D">
          <w:rPr>
            <w:rStyle w:val="Hipervnculo"/>
            <w:rFonts w:ascii="Trebuchet MS" w:eastAsia="Times New Roman" w:hAnsi="Trebuchet MS" w:cs="Times New Roman"/>
            <w:sz w:val="20"/>
            <w:szCs w:val="20"/>
            <w:lang w:val="es-ES" w:eastAsia="es-ES"/>
          </w:rPr>
          <w:t>Consortium</w:t>
        </w:r>
        <w:proofErr w:type="spellEnd"/>
      </w:hyperlink>
      <w:r w:rsidRPr="00EF275D">
        <w:rPr>
          <w:rFonts w:ascii="Trebuchet MS" w:eastAsia="Times New Roman" w:hAnsi="Trebuchet MS" w:cs="Times New Roman"/>
          <w:sz w:val="20"/>
          <w:szCs w:val="20"/>
          <w:lang w:val="es-ES" w:eastAsia="es-ES"/>
        </w:rPr>
        <w:t xml:space="preserve"> (</w:t>
      </w:r>
      <w:hyperlink r:id="rId14" w:tgtFrame="_blank" w:history="1">
        <w:r w:rsidRPr="00EF275D">
          <w:rPr>
            <w:rFonts w:ascii="Trebuchet MS" w:eastAsia="Times New Roman" w:hAnsi="Trebuchet MS" w:cs="Times New Roman"/>
            <w:sz w:val="20"/>
            <w:u w:val="single"/>
            <w:lang w:val="es-ES" w:eastAsia="es-ES"/>
          </w:rPr>
          <w:t>W3C</w:t>
        </w:r>
      </w:hyperlink>
      <w:r w:rsidRPr="00EF275D">
        <w:rPr>
          <w:rFonts w:ascii="Trebuchet MS" w:eastAsia="Times New Roman" w:hAnsi="Trebuchet MS" w:cs="Times New Roman"/>
          <w:sz w:val="20"/>
          <w:szCs w:val="20"/>
          <w:lang w:val="es-ES" w:eastAsia="es-ES"/>
        </w:rPr>
        <w:t>)</w:t>
      </w:r>
      <w:r>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r w:rsidRPr="00EF275D">
        <w:rPr>
          <w:rFonts w:ascii="Trebuchet MS" w:eastAsia="Times New Roman" w:hAnsi="Trebuchet MS" w:cs="Times New Roman"/>
          <w:b/>
          <w:bCs/>
          <w:color w:val="0070C0"/>
          <w:sz w:val="20"/>
          <w:szCs w:val="20"/>
          <w:lang w:val="es-ES" w:eastAsia="es-ES"/>
        </w:rPr>
        <w:t>10.</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¿Qué se ha hecho en España?</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En España, siguiendo un esquema de trabajo paralelo al europeo, IAB </w:t>
      </w:r>
      <w:proofErr w:type="spellStart"/>
      <w:r w:rsidRPr="00EF275D">
        <w:rPr>
          <w:rFonts w:ascii="Trebuchet MS" w:eastAsia="Times New Roman" w:hAnsi="Trebuchet MS" w:cs="Times New Roman"/>
          <w:sz w:val="20"/>
          <w:szCs w:val="20"/>
          <w:lang w:val="es-ES" w:eastAsia="es-ES"/>
        </w:rPr>
        <w:t>Spain</w:t>
      </w:r>
      <w:proofErr w:type="spellEnd"/>
      <w:r w:rsidRPr="00EF275D">
        <w:rPr>
          <w:rFonts w:ascii="Trebuchet MS" w:eastAsia="Times New Roman" w:hAnsi="Trebuchet MS" w:cs="Times New Roman"/>
          <w:sz w:val="20"/>
          <w:szCs w:val="20"/>
          <w:lang w:val="es-ES" w:eastAsia="es-ES"/>
        </w:rPr>
        <w:t xml:space="preserve"> ha mantenido contactos frecuentes con la Administración y con la Agencia Española de Protección de datos. Adicionalmente, se han celebrado dos jornadas anuales de Regulación Publicitaria Digital (2010 y 2011) y en el lanzamiento, ya en marzo de 2010, de una </w:t>
      </w:r>
      <w:hyperlink r:id="rId15" w:tgtFrame="_blank" w:history="1">
        <w:r w:rsidRPr="00EF275D">
          <w:rPr>
            <w:rFonts w:ascii="Trebuchet MS" w:eastAsia="Times New Roman" w:hAnsi="Trebuchet MS" w:cs="Times New Roman"/>
            <w:sz w:val="20"/>
            <w:u w:val="single"/>
            <w:lang w:val="es-ES" w:eastAsia="es-ES"/>
          </w:rPr>
          <w:t>web sobre Privacidad en Internet</w:t>
        </w:r>
      </w:hyperlink>
      <w:r w:rsidRPr="00EF275D">
        <w:rPr>
          <w:rFonts w:ascii="Trebuchet MS" w:eastAsia="Times New Roman" w:hAnsi="Trebuchet MS" w:cs="Times New Roman"/>
          <w:sz w:val="20"/>
          <w:szCs w:val="20"/>
          <w:lang w:val="es-ES" w:eastAsia="es-ES"/>
        </w:rPr>
        <w:t xml:space="preserve"> </w:t>
      </w:r>
      <w:r w:rsidRPr="00EF275D">
        <w:rPr>
          <w:rFonts w:ascii="Trebuchet MS" w:eastAsia="Times New Roman" w:hAnsi="Trebuchet MS" w:cs="Times New Roman"/>
          <w:i/>
          <w:iCs/>
          <w:sz w:val="20"/>
          <w:szCs w:val="20"/>
          <w:lang w:val="es-ES" w:eastAsia="es-ES"/>
        </w:rPr>
        <w:t>(</w:t>
      </w:r>
      <w:hyperlink r:id="rId16" w:tgtFrame="_blank" w:history="1">
        <w:r w:rsidRPr="00EF275D">
          <w:rPr>
            <w:rFonts w:ascii="Trebuchet MS" w:eastAsia="Times New Roman" w:hAnsi="Trebuchet MS" w:cs="Times New Roman"/>
            <w:i/>
            <w:iCs/>
            <w:color w:val="0000FF"/>
            <w:sz w:val="20"/>
            <w:u w:val="single"/>
            <w:lang w:val="es-ES" w:eastAsia="es-ES"/>
          </w:rPr>
          <w:t>http://www.iabspain.net/privacidadeninternet/index.php</w:t>
        </w:r>
      </w:hyperlink>
      <w:r w:rsidRPr="00EF275D">
        <w:rPr>
          <w:rFonts w:ascii="Trebuchet MS" w:eastAsia="Times New Roman" w:hAnsi="Trebuchet MS" w:cs="Times New Roman"/>
          <w:i/>
          <w:iCs/>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Durante el año 2011 se presentaron un conjunto de enmiendas al proyecto de transposición de la Directiva europea en el Ministerio de Industria, trabajadas en la Comisión de Privacidad de IAB </w:t>
      </w:r>
      <w:proofErr w:type="spellStart"/>
      <w:r w:rsidRPr="00EF275D">
        <w:rPr>
          <w:rFonts w:ascii="Trebuchet MS" w:eastAsia="Times New Roman" w:hAnsi="Trebuchet MS" w:cs="Times New Roman"/>
          <w:sz w:val="20"/>
          <w:szCs w:val="20"/>
          <w:lang w:val="es-ES" w:eastAsia="es-ES"/>
        </w:rPr>
        <w:t>Spain</w:t>
      </w:r>
      <w:proofErr w:type="spellEnd"/>
      <w:r w:rsidRPr="00EF275D">
        <w:rPr>
          <w:rFonts w:ascii="Trebuchet MS" w:eastAsia="Times New Roman" w:hAnsi="Trebuchet MS" w:cs="Times New Roman"/>
          <w:sz w:val="20"/>
          <w:szCs w:val="20"/>
          <w:lang w:val="es-ES" w:eastAsia="es-ES"/>
        </w:rPr>
        <w:t>.</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color w:val="0070C0"/>
          <w:sz w:val="20"/>
          <w:szCs w:val="20"/>
          <w:lang w:val="es-ES" w:eastAsia="es-ES"/>
        </w:rPr>
        <w:t>11.</w:t>
      </w:r>
      <w:r w:rsidRPr="00EF275D">
        <w:rPr>
          <w:rFonts w:ascii="Times New Roman" w:eastAsia="Times New Roman" w:hAnsi="Times New Roman" w:cs="Times New Roman"/>
          <w:b/>
          <w:bCs/>
          <w:color w:val="0070C0"/>
          <w:sz w:val="14"/>
          <w:szCs w:val="14"/>
          <w:lang w:val="es-ES" w:eastAsia="es-ES"/>
        </w:rPr>
        <w:t xml:space="preserve">  </w:t>
      </w:r>
      <w:r w:rsidRPr="00EF275D">
        <w:rPr>
          <w:rFonts w:ascii="Trebuchet MS" w:eastAsia="Times New Roman" w:hAnsi="Trebuchet MS" w:cs="Times New Roman"/>
          <w:b/>
          <w:bCs/>
          <w:color w:val="0070C0"/>
          <w:sz w:val="20"/>
          <w:szCs w:val="20"/>
          <w:lang w:val="es-ES" w:eastAsia="es-ES"/>
        </w:rPr>
        <w:t>¿Qué postura deben adoptar las empresas del sector?</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A día de hoy, y a la espera de que  el </w:t>
      </w:r>
      <w:hyperlink r:id="rId17" w:tgtFrame="_blank" w:history="1">
        <w:r w:rsidRPr="00EF275D">
          <w:rPr>
            <w:rFonts w:ascii="Trebuchet MS" w:eastAsia="Times New Roman" w:hAnsi="Trebuchet MS" w:cs="Times New Roman"/>
            <w:i/>
            <w:iCs/>
            <w:sz w:val="20"/>
            <w:u w:val="single"/>
            <w:lang w:val="es-ES" w:eastAsia="es-ES"/>
          </w:rPr>
          <w:t>Real Decreto-ley 13/2012, de 30 de marzo</w:t>
        </w:r>
      </w:hyperlink>
      <w:r w:rsidRPr="00EF275D">
        <w:rPr>
          <w:rFonts w:ascii="Trebuchet MS" w:eastAsia="Times New Roman" w:hAnsi="Trebuchet MS" w:cs="Times New Roman"/>
          <w:i/>
          <w:iCs/>
          <w:sz w:val="20"/>
          <w:szCs w:val="20"/>
          <w:lang w:val="es-ES" w:eastAsia="es-ES"/>
        </w:rPr>
        <w:t xml:space="preserve"> </w:t>
      </w:r>
      <w:r w:rsidRPr="00EF275D">
        <w:rPr>
          <w:rFonts w:ascii="Trebuchet MS" w:eastAsia="Times New Roman" w:hAnsi="Trebuchet MS" w:cs="Times New Roman"/>
          <w:sz w:val="20"/>
          <w:szCs w:val="20"/>
          <w:lang w:val="es-ES" w:eastAsia="es-ES"/>
        </w:rPr>
        <w:t xml:space="preserve">sea convalidado por el congreso de los Diputados, las empresas que utilicen cookies de seguimiento con el objetivo de ofrecer publicidad </w:t>
      </w:r>
      <w:proofErr w:type="spellStart"/>
      <w:r w:rsidRPr="00EF275D">
        <w:rPr>
          <w:rFonts w:ascii="Trebuchet MS" w:eastAsia="Times New Roman" w:hAnsi="Trebuchet MS" w:cs="Times New Roman"/>
          <w:sz w:val="20"/>
          <w:szCs w:val="20"/>
          <w:lang w:val="es-ES" w:eastAsia="es-ES"/>
        </w:rPr>
        <w:t>comportamental</w:t>
      </w:r>
      <w:proofErr w:type="spellEnd"/>
      <w:r w:rsidRPr="00EF275D">
        <w:rPr>
          <w:rFonts w:ascii="Trebuchet MS" w:eastAsia="Times New Roman" w:hAnsi="Trebuchet MS" w:cs="Times New Roman"/>
          <w:sz w:val="20"/>
          <w:szCs w:val="20"/>
          <w:lang w:val="es-ES" w:eastAsia="es-ES"/>
        </w:rPr>
        <w:t xml:space="preserve"> pueden adherirse al código europeo de autorregulación.</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En paralelo, IAB </w:t>
      </w:r>
      <w:proofErr w:type="spellStart"/>
      <w:r w:rsidRPr="00EF275D">
        <w:rPr>
          <w:rFonts w:ascii="Trebuchet MS" w:eastAsia="Times New Roman" w:hAnsi="Trebuchet MS" w:cs="Times New Roman"/>
          <w:sz w:val="20"/>
          <w:szCs w:val="20"/>
          <w:lang w:val="es-ES" w:eastAsia="es-ES"/>
        </w:rPr>
        <w:t>Spain</w:t>
      </w:r>
      <w:proofErr w:type="spellEnd"/>
      <w:r w:rsidRPr="00EF275D">
        <w:rPr>
          <w:rFonts w:ascii="Trebuchet MS" w:eastAsia="Times New Roman" w:hAnsi="Trebuchet MS" w:cs="Times New Roman"/>
          <w:sz w:val="20"/>
          <w:szCs w:val="20"/>
          <w:lang w:val="es-ES" w:eastAsia="es-ES"/>
        </w:rPr>
        <w:t xml:space="preserve"> mantendrá contactos con la Agencia Española de Protección de Datos para conocer su interpretación de la reforma de la ley y su disposición previa a aceptar la solución que se adopte a nivel europeo sobre este particular.</w:t>
      </w:r>
    </w:p>
    <w:p w:rsidR="00EF275D" w:rsidRDefault="00EF275D" w:rsidP="00EF275D">
      <w:pPr>
        <w:spacing w:before="100" w:beforeAutospacing="1" w:after="100" w:afterAutospacing="1" w:line="240" w:lineRule="auto"/>
        <w:jc w:val="right"/>
        <w:rPr>
          <w:rFonts w:ascii="Trebuchet MS" w:eastAsia="Times New Roman" w:hAnsi="Trebuchet MS" w:cs="Times New Roman"/>
          <w:sz w:val="20"/>
          <w:szCs w:val="20"/>
          <w:lang w:val="es-ES" w:eastAsia="es-ES"/>
        </w:rPr>
      </w:pPr>
    </w:p>
    <w:p w:rsidR="00EF275D" w:rsidRPr="00EF275D" w:rsidRDefault="00EF275D" w:rsidP="00EF275D">
      <w:pPr>
        <w:spacing w:before="100" w:beforeAutospacing="1" w:after="100" w:afterAutospacing="1" w:line="240" w:lineRule="auto"/>
        <w:jc w:val="right"/>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Antonio </w:t>
      </w:r>
      <w:proofErr w:type="spellStart"/>
      <w:r w:rsidRPr="00EF275D">
        <w:rPr>
          <w:rFonts w:ascii="Trebuchet MS" w:eastAsia="Times New Roman" w:hAnsi="Trebuchet MS" w:cs="Times New Roman"/>
          <w:sz w:val="20"/>
          <w:szCs w:val="20"/>
          <w:lang w:val="es-ES" w:eastAsia="es-ES"/>
        </w:rPr>
        <w:t>Traugott</w:t>
      </w:r>
      <w:proofErr w:type="spellEnd"/>
    </w:p>
    <w:p w:rsidR="00EF275D" w:rsidRPr="00EF275D" w:rsidRDefault="00EF275D" w:rsidP="00EF275D">
      <w:pPr>
        <w:spacing w:before="100" w:beforeAutospacing="1" w:after="100" w:afterAutospacing="1" w:line="240" w:lineRule="auto"/>
        <w:jc w:val="right"/>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xml:space="preserve">Director General IAB </w:t>
      </w:r>
      <w:proofErr w:type="spellStart"/>
      <w:r w:rsidRPr="00EF275D">
        <w:rPr>
          <w:rFonts w:ascii="Trebuchet MS" w:eastAsia="Times New Roman" w:hAnsi="Trebuchet MS" w:cs="Times New Roman"/>
          <w:sz w:val="20"/>
          <w:szCs w:val="20"/>
          <w:lang w:val="es-ES" w:eastAsia="es-ES"/>
        </w:rPr>
        <w:t>Spain</w:t>
      </w:r>
      <w:proofErr w:type="spellEnd"/>
    </w:p>
    <w:p w:rsidR="00EF275D" w:rsidRPr="00EF275D" w:rsidRDefault="00EF275D" w:rsidP="00EF275D">
      <w:pPr>
        <w:spacing w:before="100" w:beforeAutospacing="1" w:after="100" w:afterAutospacing="1" w:line="240" w:lineRule="auto"/>
        <w:jc w:val="right"/>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spacing w:before="100" w:beforeAutospacing="1" w:after="100" w:afterAutospacing="1" w:line="240" w:lineRule="auto"/>
        <w:jc w:val="right"/>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sz w:val="16"/>
          <w:szCs w:val="16"/>
          <w:lang w:val="es-ES" w:eastAsia="es-ES"/>
        </w:rPr>
        <w:t> </w:t>
      </w:r>
    </w:p>
    <w:tbl>
      <w:tblPr>
        <w:tblW w:w="0" w:type="auto"/>
        <w:tblCellMar>
          <w:left w:w="0" w:type="dxa"/>
          <w:right w:w="0" w:type="dxa"/>
        </w:tblCellMar>
        <w:tblLook w:val="04A0"/>
      </w:tblPr>
      <w:tblGrid>
        <w:gridCol w:w="8644"/>
      </w:tblGrid>
      <w:tr w:rsidR="00EF275D" w:rsidRPr="00EF275D" w:rsidTr="00EF275D">
        <w:trPr>
          <w:trHeight w:val="2310"/>
        </w:trPr>
        <w:tc>
          <w:tcPr>
            <w:tcW w:w="8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5D" w:rsidRPr="00EF275D" w:rsidRDefault="00EF275D" w:rsidP="00EF275D">
            <w:pPr>
              <w:spacing w:before="100" w:beforeAutospacing="1" w:after="100" w:afterAutospacing="1" w:line="240" w:lineRule="auto"/>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i/>
                <w:iCs/>
                <w:sz w:val="16"/>
                <w:szCs w:val="16"/>
                <w:lang w:val="es-ES" w:eastAsia="es-ES"/>
              </w:rPr>
              <w:lastRenderedPageBreak/>
              <w:t> </w:t>
            </w:r>
          </w:p>
          <w:p w:rsidR="00EF275D" w:rsidRPr="00EF275D" w:rsidRDefault="00EF275D" w:rsidP="00EF275D">
            <w:pPr>
              <w:spacing w:before="100" w:beforeAutospacing="1" w:after="100" w:afterAutospacing="1" w:line="240" w:lineRule="auto"/>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i/>
                <w:iCs/>
                <w:sz w:val="20"/>
                <w:szCs w:val="20"/>
                <w:lang w:val="es-ES" w:eastAsia="es-ES"/>
              </w:rPr>
              <w:t xml:space="preserve">IAB </w:t>
            </w:r>
            <w:proofErr w:type="spellStart"/>
            <w:r w:rsidRPr="00EF275D">
              <w:rPr>
                <w:rFonts w:ascii="Trebuchet MS" w:eastAsia="Times New Roman" w:hAnsi="Trebuchet MS" w:cs="Times New Roman"/>
                <w:b/>
                <w:bCs/>
                <w:i/>
                <w:iCs/>
                <w:sz w:val="20"/>
                <w:szCs w:val="20"/>
                <w:lang w:val="es-ES" w:eastAsia="es-ES"/>
              </w:rPr>
              <w:t>Spain</w:t>
            </w:r>
            <w:proofErr w:type="spellEnd"/>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i/>
                <w:iCs/>
                <w:sz w:val="20"/>
                <w:szCs w:val="20"/>
                <w:lang w:val="es-ES" w:eastAsia="es-ES"/>
              </w:rPr>
              <w:t xml:space="preserve">IAB </w:t>
            </w:r>
            <w:proofErr w:type="spellStart"/>
            <w:r w:rsidRPr="00EF275D">
              <w:rPr>
                <w:rFonts w:ascii="Trebuchet MS" w:eastAsia="Times New Roman" w:hAnsi="Trebuchet MS" w:cs="Times New Roman"/>
                <w:i/>
                <w:iCs/>
                <w:sz w:val="20"/>
                <w:szCs w:val="20"/>
                <w:lang w:val="es-ES" w:eastAsia="es-ES"/>
              </w:rPr>
              <w:t>Spain</w:t>
            </w:r>
            <w:proofErr w:type="spellEnd"/>
            <w:r w:rsidRPr="00EF275D">
              <w:rPr>
                <w:rFonts w:ascii="Trebuchet MS" w:eastAsia="Times New Roman" w:hAnsi="Trebuchet MS" w:cs="Times New Roman"/>
                <w:i/>
                <w:iCs/>
                <w:sz w:val="20"/>
                <w:szCs w:val="20"/>
                <w:lang w:val="es-ES" w:eastAsia="es-ES"/>
              </w:rPr>
              <w:t xml:space="preserve"> (</w:t>
            </w:r>
            <w:proofErr w:type="spellStart"/>
            <w:r w:rsidRPr="00EF275D">
              <w:rPr>
                <w:rFonts w:ascii="Trebuchet MS" w:eastAsia="Times New Roman" w:hAnsi="Trebuchet MS" w:cs="Times New Roman"/>
                <w:i/>
                <w:iCs/>
                <w:sz w:val="20"/>
                <w:szCs w:val="20"/>
                <w:lang w:val="es-ES" w:eastAsia="es-ES"/>
              </w:rPr>
              <w:t>Interactive</w:t>
            </w:r>
            <w:proofErr w:type="spellEnd"/>
            <w:r w:rsidRPr="00EF275D">
              <w:rPr>
                <w:rFonts w:ascii="Trebuchet MS" w:eastAsia="Times New Roman" w:hAnsi="Trebuchet MS" w:cs="Times New Roman"/>
                <w:i/>
                <w:iCs/>
                <w:sz w:val="20"/>
                <w:szCs w:val="20"/>
                <w:lang w:val="es-ES" w:eastAsia="es-ES"/>
              </w:rPr>
              <w:t xml:space="preserve"> </w:t>
            </w:r>
            <w:proofErr w:type="spellStart"/>
            <w:r w:rsidRPr="00EF275D">
              <w:rPr>
                <w:rFonts w:ascii="Trebuchet MS" w:eastAsia="Times New Roman" w:hAnsi="Trebuchet MS" w:cs="Times New Roman"/>
                <w:i/>
                <w:iCs/>
                <w:sz w:val="20"/>
                <w:szCs w:val="20"/>
                <w:lang w:val="es-ES" w:eastAsia="es-ES"/>
              </w:rPr>
              <w:t>Adverstising</w:t>
            </w:r>
            <w:proofErr w:type="spellEnd"/>
            <w:r w:rsidRPr="00EF275D">
              <w:rPr>
                <w:rFonts w:ascii="Trebuchet MS" w:eastAsia="Times New Roman" w:hAnsi="Trebuchet MS" w:cs="Times New Roman"/>
                <w:i/>
                <w:iCs/>
                <w:sz w:val="20"/>
                <w:szCs w:val="20"/>
                <w:lang w:val="es-ES" w:eastAsia="es-ES"/>
              </w:rPr>
              <w:t xml:space="preserve"> Bureau) es la asociación española que representa al sector de la publicidad y la comunicación digital en España. Con 150 asociados representa al 95% del sector en nuestro país y es la única asociación que engloba a agencias de medios, creativas, anunciantes, soportes, redes, buscadores, consultoras, medios de comunicación y proveedores tecnológicos. Su objetivo principal es la promoción del marketing y la publicidad interactiva en España. Pertenece a la asociación internacional del mismo nombre, presente en 38 países.</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b/>
                <w:bCs/>
                <w:i/>
                <w:iCs/>
                <w:sz w:val="16"/>
                <w:szCs w:val="16"/>
                <w:lang w:val="es-ES" w:eastAsia="es-ES"/>
              </w:rPr>
              <w:t> </w:t>
            </w:r>
          </w:p>
        </w:tc>
      </w:tr>
    </w:tbl>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EF275D"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p w:rsidR="00453942" w:rsidRPr="00EF275D" w:rsidRDefault="00EF275D" w:rsidP="00EF275D">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F275D">
        <w:rPr>
          <w:rFonts w:ascii="Trebuchet MS" w:eastAsia="Times New Roman" w:hAnsi="Trebuchet MS" w:cs="Times New Roman"/>
          <w:sz w:val="20"/>
          <w:szCs w:val="20"/>
          <w:lang w:val="es-ES" w:eastAsia="es-ES"/>
        </w:rPr>
        <w:t> </w:t>
      </w:r>
    </w:p>
    <w:sectPr w:rsidR="00453942" w:rsidRPr="00EF275D" w:rsidSect="00B100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275D"/>
    <w:rsid w:val="006F268B"/>
    <w:rsid w:val="008F7EAB"/>
    <w:rsid w:val="00B033F7"/>
    <w:rsid w:val="00B04169"/>
    <w:rsid w:val="00B10045"/>
    <w:rsid w:val="00E716B6"/>
    <w:rsid w:val="00ED6880"/>
    <w:rsid w:val="00EF27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27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F275D"/>
    <w:rPr>
      <w:color w:val="0000FF"/>
      <w:u w:val="single"/>
    </w:rPr>
  </w:style>
  <w:style w:type="paragraph" w:styleId="Prrafodelista">
    <w:name w:val="List Paragraph"/>
    <w:basedOn w:val="Normal"/>
    <w:uiPriority w:val="34"/>
    <w:qFormat/>
    <w:rsid w:val="00EF275D"/>
    <w:pPr>
      <w:ind w:left="720"/>
      <w:contextualSpacing/>
    </w:pPr>
  </w:style>
</w:styles>
</file>

<file path=word/webSettings.xml><?xml version="1.0" encoding="utf-8"?>
<w:webSettings xmlns:r="http://schemas.openxmlformats.org/officeDocument/2006/relationships" xmlns:w="http://schemas.openxmlformats.org/wordprocessingml/2006/main">
  <w:divs>
    <w:div w:id="19748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beurope.eu/media/62505/2012-04-10_iab%20europe_oba_framework.pdf" TargetMode="External"/><Relationship Id="rId13" Type="http://schemas.openxmlformats.org/officeDocument/2006/relationships/hyperlink" Target="http://www.w3.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abeurope.eu/media/62505/2012-04-10_iab%20europe_oba_framework.pdf" TargetMode="External"/><Relationship Id="rId12" Type="http://schemas.openxmlformats.org/officeDocument/2006/relationships/hyperlink" Target="http://www.ftc.gov/opa/2012/03/privacyframework.shtm" TargetMode="External"/><Relationship Id="rId17" Type="http://schemas.openxmlformats.org/officeDocument/2006/relationships/hyperlink" Target="http://www.boe.es/boe/dias/2012/03/31/pdfs/BOE-A-2012-4442.pdf" TargetMode="External"/><Relationship Id="rId2" Type="http://schemas.openxmlformats.org/officeDocument/2006/relationships/settings" Target="settings.xml"/><Relationship Id="rId16" Type="http://schemas.openxmlformats.org/officeDocument/2006/relationships/hyperlink" Target="http://www.iabspain.net/privacidadeninternet/index.php" TargetMode="External"/><Relationship Id="rId1" Type="http://schemas.openxmlformats.org/officeDocument/2006/relationships/styles" Target="styles.xml"/><Relationship Id="rId6" Type="http://schemas.openxmlformats.org/officeDocument/2006/relationships/hyperlink" Target="http://www.boe.es/boe/dias/2012/03/31/pdfs/BOE-A-2012-4442.pdf" TargetMode="External"/><Relationship Id="rId11" Type="http://schemas.openxmlformats.org/officeDocument/2006/relationships/hyperlink" Target="mailto:training@iabeurope.eu" TargetMode="External"/><Relationship Id="rId5" Type="http://schemas.openxmlformats.org/officeDocument/2006/relationships/hyperlink" Target="http://eur-lex.europa.eu/LexUriServ/LexUriServ.do?uri=OJ:L:2009:337:0011:0036:Es:PDF" TargetMode="External"/><Relationship Id="rId15" Type="http://schemas.openxmlformats.org/officeDocument/2006/relationships/hyperlink" Target="http://www.iabspain.net/privacidadeninternet/index.php" TargetMode="External"/><Relationship Id="rId10" Type="http://schemas.openxmlformats.org/officeDocument/2006/relationships/hyperlink" Target="http://www.youronlinechoices.eu" TargetMode="External"/><Relationship Id="rId19" Type="http://schemas.openxmlformats.org/officeDocument/2006/relationships/theme" Target="theme/theme1.xml"/><Relationship Id="rId4" Type="http://schemas.openxmlformats.org/officeDocument/2006/relationships/hyperlink" Target="http://eur-lex.europa.eu/LexUriServ/LexUriServ.do?uri=OJ:L:2009:337:0011:0036:Es:PDF" TargetMode="External"/><Relationship Id="rId9" Type="http://schemas.openxmlformats.org/officeDocument/2006/relationships/hyperlink" Target="http://www.youronlinechoices.eu" TargetMode="External"/><Relationship Id="rId14" Type="http://schemas.openxmlformats.org/officeDocument/2006/relationships/hyperlink" Target="http://www.w3.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1623</Words>
  <Characters>8929</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2012-04-13T15:53:00Z</dcterms:created>
  <dcterms:modified xsi:type="dcterms:W3CDTF">2012-04-13T15:58:00Z</dcterms:modified>
</cp:coreProperties>
</file>