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E6" w:rsidRDefault="004C13E6">
      <w:pPr>
        <w:pStyle w:val="Piedepgina"/>
        <w:tabs>
          <w:tab w:val="clear" w:pos="4252"/>
          <w:tab w:val="clear" w:pos="8504"/>
        </w:tabs>
        <w:ind w:left="2552"/>
        <w:rPr>
          <w:rFonts w:ascii="Arial Narrow" w:hAnsi="Arial Narrow"/>
          <w:b/>
          <w:bCs/>
          <w:noProof/>
          <w:sz w:val="28"/>
          <w:u w:val="single"/>
          <w:lang w:val="es-ES"/>
        </w:rPr>
      </w:pPr>
    </w:p>
    <w:p w:rsidR="00F37DA8" w:rsidRPr="00F37DA8" w:rsidRDefault="005B76BA" w:rsidP="00F37DA8">
      <w:pPr>
        <w:pStyle w:val="Sangradetextonormal"/>
        <w:ind w:left="2552"/>
        <w:rPr>
          <w:b/>
          <w:sz w:val="52"/>
          <w:szCs w:val="52"/>
        </w:rPr>
      </w:pPr>
      <w:r w:rsidRPr="005B76BA">
        <w:rPr>
          <w:noProof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18.25pt;margin-top:6.35pt;width:63pt;height:305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" filled="f" stroked="f">
            <v:textbox style="layout-flow:vertical;mso-layout-flow-alt:bottom-to-top">
              <w:txbxContent>
                <w:p w:rsidR="004C13E6" w:rsidRDefault="004C13E6">
                  <w:pPr>
                    <w:pStyle w:val="Ttulo4"/>
                    <w:rPr>
                      <w:color w:val="999999"/>
                    </w:rPr>
                  </w:pPr>
                  <w:r>
                    <w:rPr>
                      <w:color w:val="999999"/>
                    </w:rPr>
                    <w:t>Nota de prensa</w:t>
                  </w:r>
                </w:p>
              </w:txbxContent>
            </v:textbox>
          </v:shape>
        </w:pict>
      </w:r>
      <w:r w:rsidR="00442888">
        <w:rPr>
          <w:b/>
          <w:sz w:val="52"/>
          <w:szCs w:val="52"/>
        </w:rPr>
        <w:t>La inflación anual baja dos décimas y se sitúa en el 2,7% en enero</w:t>
      </w:r>
    </w:p>
    <w:p w:rsidR="004C13E6" w:rsidRDefault="004C13E6">
      <w:pPr>
        <w:pStyle w:val="Piedepgina"/>
        <w:tabs>
          <w:tab w:val="clear" w:pos="4252"/>
          <w:tab w:val="clear" w:pos="8504"/>
        </w:tabs>
        <w:ind w:left="2552"/>
        <w:jc w:val="center"/>
        <w:rPr>
          <w:rFonts w:ascii="Arial Narrow" w:hAnsi="Arial Narrow"/>
          <w:b/>
          <w:bCs/>
          <w:noProof/>
          <w:sz w:val="44"/>
          <w:lang w:val="es-ES"/>
        </w:rPr>
      </w:pPr>
    </w:p>
    <w:p w:rsidR="00442888" w:rsidRPr="001D3966" w:rsidRDefault="00F37DA8" w:rsidP="00F37DA8">
      <w:pPr>
        <w:pStyle w:val="Sangradetextonormal"/>
        <w:numPr>
          <w:ilvl w:val="0"/>
          <w:numId w:val="3"/>
        </w:numPr>
        <w:tabs>
          <w:tab w:val="num" w:pos="2977"/>
        </w:tabs>
        <w:ind w:left="2977" w:firstLine="0"/>
        <w:rPr>
          <w:b/>
          <w:szCs w:val="28"/>
        </w:rPr>
      </w:pPr>
      <w:r w:rsidRPr="001D3966">
        <w:rPr>
          <w:b/>
          <w:szCs w:val="28"/>
        </w:rPr>
        <w:t xml:space="preserve">La </w:t>
      </w:r>
      <w:r w:rsidR="00442888" w:rsidRPr="001D3966">
        <w:rPr>
          <w:b/>
          <w:szCs w:val="28"/>
        </w:rPr>
        <w:t>tasa</w:t>
      </w:r>
      <w:r w:rsidRPr="001D3966">
        <w:rPr>
          <w:b/>
          <w:szCs w:val="28"/>
        </w:rPr>
        <w:t xml:space="preserve"> subyacente aumenta un</w:t>
      </w:r>
      <w:r w:rsidR="00442888" w:rsidRPr="001D3966">
        <w:rPr>
          <w:b/>
          <w:szCs w:val="28"/>
        </w:rPr>
        <w:t xml:space="preserve">a décima y alcanza el 2,2% por </w:t>
      </w:r>
      <w:r w:rsidRPr="001D3966">
        <w:rPr>
          <w:b/>
          <w:szCs w:val="28"/>
        </w:rPr>
        <w:t>la alimentación elaborada</w:t>
      </w:r>
    </w:p>
    <w:p w:rsidR="00F37DA8" w:rsidRPr="001D3966" w:rsidRDefault="00F37DA8" w:rsidP="00442888">
      <w:pPr>
        <w:pStyle w:val="Sangradetextonormal"/>
        <w:tabs>
          <w:tab w:val="num" w:pos="2977"/>
        </w:tabs>
        <w:ind w:left="2977"/>
        <w:rPr>
          <w:b/>
          <w:szCs w:val="28"/>
        </w:rPr>
      </w:pPr>
      <w:r w:rsidRPr="001D3966">
        <w:rPr>
          <w:b/>
          <w:szCs w:val="28"/>
        </w:rPr>
        <w:t xml:space="preserve"> </w:t>
      </w:r>
    </w:p>
    <w:p w:rsidR="00F37DA8" w:rsidRPr="001D3966" w:rsidRDefault="00F37DA8" w:rsidP="00F37DA8">
      <w:pPr>
        <w:pStyle w:val="Sangradetextonormal"/>
        <w:numPr>
          <w:ilvl w:val="0"/>
          <w:numId w:val="3"/>
        </w:numPr>
        <w:tabs>
          <w:tab w:val="num" w:pos="2977"/>
        </w:tabs>
        <w:ind w:left="2977" w:firstLine="0"/>
        <w:rPr>
          <w:b/>
          <w:szCs w:val="28"/>
        </w:rPr>
      </w:pPr>
      <w:r w:rsidRPr="001D3966">
        <w:rPr>
          <w:b/>
          <w:szCs w:val="28"/>
        </w:rPr>
        <w:t xml:space="preserve">Los precios de los productos energéticos </w:t>
      </w:r>
      <w:r w:rsidR="001D3966">
        <w:rPr>
          <w:b/>
          <w:szCs w:val="28"/>
        </w:rPr>
        <w:t>caen</w:t>
      </w:r>
      <w:r w:rsidR="00442888" w:rsidRPr="001D3966">
        <w:rPr>
          <w:b/>
          <w:szCs w:val="28"/>
        </w:rPr>
        <w:t xml:space="preserve"> 2,3 puntos, hasta el 5,3%</w:t>
      </w:r>
      <w:r w:rsidR="001D3966">
        <w:rPr>
          <w:b/>
          <w:szCs w:val="28"/>
        </w:rPr>
        <w:t>,</w:t>
      </w:r>
      <w:r w:rsidR="00442888" w:rsidRPr="001D3966">
        <w:rPr>
          <w:b/>
          <w:szCs w:val="28"/>
        </w:rPr>
        <w:t xml:space="preserve"> respecto de hace un año</w:t>
      </w:r>
      <w:r w:rsidRPr="001D3966">
        <w:rPr>
          <w:b/>
          <w:szCs w:val="28"/>
        </w:rPr>
        <w:t xml:space="preserve"> </w:t>
      </w:r>
    </w:p>
    <w:p w:rsidR="004C13E6" w:rsidRDefault="004C13E6" w:rsidP="00F37DA8">
      <w:pPr>
        <w:pStyle w:val="Piedepgina"/>
        <w:tabs>
          <w:tab w:val="clear" w:pos="4252"/>
          <w:tab w:val="clear" w:pos="8504"/>
          <w:tab w:val="num" w:pos="2977"/>
        </w:tabs>
        <w:ind w:left="2977"/>
        <w:rPr>
          <w:rFonts w:ascii="Arial Narrow" w:hAnsi="Arial Narrow"/>
          <w:b/>
          <w:bCs/>
          <w:noProof/>
          <w:sz w:val="28"/>
          <w:lang w:val="es-ES"/>
        </w:rPr>
      </w:pPr>
    </w:p>
    <w:p w:rsidR="00F37DA8" w:rsidRDefault="00F37DA8" w:rsidP="00F37DA8">
      <w:pPr>
        <w:pStyle w:val="Sangradetextonormal"/>
        <w:ind w:left="2552"/>
      </w:pPr>
      <w:r>
        <w:rPr>
          <w:b/>
        </w:rPr>
        <w:t xml:space="preserve">15 feb 2013.- </w:t>
      </w:r>
      <w:r>
        <w:t xml:space="preserve">El Índice de Precios al Consumo (IPC) anotó un retroceso intermensual del 1,3% en enero, frente a una caída algo menor (-1,1%) de un año antes, con lo que su tasa interanual disminuyó 2 décimas, hasta el 2,7%, según los datos publicados hoy por el Instituto Nacional de Estadística (INE). </w:t>
      </w:r>
    </w:p>
    <w:p w:rsidR="00F37DA8" w:rsidRDefault="00F37DA8" w:rsidP="00F37DA8">
      <w:pPr>
        <w:pStyle w:val="Sangradetextonormal"/>
        <w:ind w:left="2552"/>
      </w:pPr>
    </w:p>
    <w:p w:rsidR="00F37DA8" w:rsidRDefault="00F37DA8" w:rsidP="00F37DA8">
      <w:pPr>
        <w:pStyle w:val="Sangradetextonormal"/>
        <w:ind w:left="2552"/>
      </w:pPr>
      <w:r>
        <w:t xml:space="preserve">El descenso de </w:t>
      </w:r>
      <w:r w:rsidR="00442888">
        <w:t>la inflación anual se debió sobre todo</w:t>
      </w:r>
      <w:r>
        <w:t xml:space="preserve"> a la moderación de los precios de los productos energéticos y de los bienes industriales no energéticos, especialmente </w:t>
      </w:r>
      <w:r w:rsidR="00442888">
        <w:t>la</w:t>
      </w:r>
      <w:r>
        <w:t xml:space="preserve"> partida de vestido y calzado, que más que compensaron la aceleración de la alimentación. Por su parte, el conjunto de servicios mantuvo su tasa anual.</w:t>
      </w:r>
    </w:p>
    <w:p w:rsidR="00F37DA8" w:rsidRDefault="00F37DA8" w:rsidP="00F37DA8">
      <w:pPr>
        <w:pStyle w:val="Sangradetextonormal"/>
        <w:ind w:left="2552"/>
      </w:pPr>
    </w:p>
    <w:p w:rsidR="00F37DA8" w:rsidRDefault="00442888" w:rsidP="00F37DA8">
      <w:pPr>
        <w:pStyle w:val="Sangradetextonormal"/>
        <w:ind w:left="2552"/>
      </w:pPr>
      <w:r>
        <w:t xml:space="preserve">Entre los principales componentes del IPC, </w:t>
      </w:r>
      <w:r w:rsidR="00F37DA8">
        <w:t>la alimentación elaborada creció un 3,6%</w:t>
      </w:r>
      <w:r>
        <w:t xml:space="preserve"> en tasa anual</w:t>
      </w:r>
      <w:r w:rsidR="00F37DA8">
        <w:t xml:space="preserve">, cinco décimas por encima de diciembre. El origen de esta aceleración se situó principalmente en el tabaco, con un aumento del 9,7% (3,7 puntos porcentuales por encima de diciembre) y en los aceites y grasas, que </w:t>
      </w:r>
      <w:r w:rsidR="001D3966">
        <w:t xml:space="preserve">elevó </w:t>
      </w:r>
      <w:r w:rsidR="00F37DA8">
        <w:t xml:space="preserve">su tasa anual en el 18%, dos puntos porcentuales por encima de diciembre. </w:t>
      </w:r>
    </w:p>
    <w:p w:rsidR="00F37DA8" w:rsidRDefault="00F37DA8" w:rsidP="00F37DA8">
      <w:pPr>
        <w:pStyle w:val="Sangradetextonormal"/>
        <w:ind w:left="2552"/>
      </w:pPr>
    </w:p>
    <w:p w:rsidR="00F37DA8" w:rsidRDefault="00F37DA8" w:rsidP="00F37DA8">
      <w:pPr>
        <w:pStyle w:val="Sangradetextonormal"/>
        <w:ind w:left="2552"/>
      </w:pPr>
      <w:r>
        <w:t>Mientras, los bienes industriales no energéticos redujeron su tasa anual en dos décimas, hasta el 1,3%</w:t>
      </w:r>
      <w:r w:rsidR="001D3966">
        <w:t>. D</w:t>
      </w:r>
      <w:r>
        <w:t>estaca el descenso de vestido y calzado</w:t>
      </w:r>
      <w:r w:rsidR="001D3966">
        <w:t xml:space="preserve"> (</w:t>
      </w:r>
      <w:r>
        <w:t>desde el 0,3% de diciembr</w:t>
      </w:r>
      <w:r w:rsidR="00442888">
        <w:t>e hasta el -0,1 % de enero</w:t>
      </w:r>
      <w:r w:rsidR="001D3966">
        <w:t>)</w:t>
      </w:r>
      <w:r w:rsidR="00442888">
        <w:t xml:space="preserve"> y </w:t>
      </w:r>
      <w:r>
        <w:t xml:space="preserve">de los medicamentos en casi tres puntos, hasta el 24,3%. Los precios de los servicios mantuvieron su tasa anual en el 2,2%, aunque se observan </w:t>
      </w:r>
      <w:r>
        <w:lastRenderedPageBreak/>
        <w:t xml:space="preserve">variaciones de distinto signo en muchos de sus componentes. Destacó por su magnitud la </w:t>
      </w:r>
      <w:r w:rsidR="001D3966">
        <w:t>caída d</w:t>
      </w:r>
      <w:r>
        <w:t>e las comunicaciones que, por el menor descenso de los servicios telefónicos, pasó del -2,7% a</w:t>
      </w:r>
      <w:r w:rsidR="001D3966">
        <w:t>l</w:t>
      </w:r>
      <w:r>
        <w:t xml:space="preserve"> -1,8%. En sentido contrario, el transporte registró un recorte de nueve décimas, pasando de 3,1% a 2,2%, </w:t>
      </w:r>
      <w:r w:rsidR="00B92D11">
        <w:t xml:space="preserve">lo </w:t>
      </w:r>
      <w:r>
        <w:t>que refleja en parte la evolución de los precios de los combustibles.</w:t>
      </w:r>
    </w:p>
    <w:p w:rsidR="00F37DA8" w:rsidRDefault="00F37DA8" w:rsidP="00F37DA8">
      <w:pPr>
        <w:pStyle w:val="Sangradetextonormal"/>
        <w:ind w:left="2552"/>
      </w:pPr>
    </w:p>
    <w:p w:rsidR="00F37DA8" w:rsidRDefault="00F37DA8" w:rsidP="00F37DA8">
      <w:pPr>
        <w:pStyle w:val="Sangradetextonormal"/>
        <w:ind w:left="2552"/>
      </w:pPr>
      <w:r>
        <w:t>Los alimentos frescos aumentaron de nuevo con intensidad, en cuatro décimas, hasta el 4,3%, por la aceleración de los precios de la fruta fresca, la carne de ave, el pescado fresco y la patata.  La tasa anual de los productos energéticos retomó en enero la moderación de los últimos meses de 2012, interrumpida en diciembre, y anotó un significativo recorte de 2,3 puntos porcentuales, hasta el 5,3%</w:t>
      </w:r>
      <w:r w:rsidR="00B92D11">
        <w:t xml:space="preserve">. A ello </w:t>
      </w:r>
      <w:r>
        <w:t xml:space="preserve"> contribuyó en parte la bajada de la electricidad frente a la subida de un año antes. Su principal partida, los combustibles y carburantes,  moderaron su tasa anual en 1,5 puntos porcentuales, hasta el 4,2%. </w:t>
      </w:r>
    </w:p>
    <w:p w:rsidR="00F37DA8" w:rsidRDefault="00F37DA8" w:rsidP="00F37DA8">
      <w:pPr>
        <w:pStyle w:val="Sangradetextonormal"/>
        <w:ind w:left="2552"/>
      </w:pPr>
    </w:p>
    <w:p w:rsidR="00F37DA8" w:rsidRDefault="00F37DA8" w:rsidP="00F37DA8">
      <w:pPr>
        <w:pStyle w:val="Sangradetextonormal"/>
        <w:ind w:left="2552"/>
      </w:pPr>
      <w:r>
        <w:t xml:space="preserve">La combinación de estos elementos determinó que la inflación subyacente (la que excluye productos energéticos y alimentación fresca) se acelerara un punto en tasa anual, hasta </w:t>
      </w:r>
      <w:r w:rsidR="001D3966">
        <w:t>el</w:t>
      </w:r>
      <w:r>
        <w:t xml:space="preserve"> 2,2%. </w:t>
      </w:r>
      <w:r w:rsidR="00084BFA">
        <w:t>E</w:t>
      </w:r>
      <w:r>
        <w:t>l repunte de la alimentación elaborada superó la ralentización de los bienes industriales no energéticos y se mantuvo constante la tasa anual de los servicios.</w:t>
      </w:r>
    </w:p>
    <w:p w:rsidR="00F37DA8" w:rsidRDefault="00F37DA8" w:rsidP="00F37DA8">
      <w:pPr>
        <w:pStyle w:val="Sangradetextonormal"/>
        <w:ind w:left="2552"/>
      </w:pPr>
    </w:p>
    <w:p w:rsidR="00F37DA8" w:rsidRDefault="00F37DA8" w:rsidP="00F37DA8">
      <w:pPr>
        <w:pStyle w:val="Sangradetextonormal"/>
        <w:ind w:left="2552"/>
      </w:pPr>
      <w:r>
        <w:t>Las comunidades autónomas con una mayor tasa anual de inflación en enero fueron Cantabria (3,5%), Cataluña (3,3%) y Castilla y León (2,9%). Las menos inflacionistas fueron Melilla (1,1%), Ceuta (1,8%), Canarias (2,3%) y Madrid (2,4%).</w:t>
      </w:r>
    </w:p>
    <w:p w:rsidR="00F37DA8" w:rsidRDefault="00F37DA8" w:rsidP="00F37DA8">
      <w:pPr>
        <w:pStyle w:val="Sangradetextonormal"/>
        <w:ind w:left="2552"/>
      </w:pPr>
    </w:p>
    <w:p w:rsidR="004055D9" w:rsidRDefault="00F37DA8" w:rsidP="00F37DA8">
      <w:pPr>
        <w:pStyle w:val="Sangradetextonormal"/>
        <w:ind w:left="2552"/>
      </w:pPr>
      <w:r>
        <w:t xml:space="preserve">La variación mensual del IPC fue del -1,3% que se explica, principalmente, por los </w:t>
      </w:r>
      <w:r w:rsidR="004055D9">
        <w:t xml:space="preserve">bienes industriales no energéticos </w:t>
      </w:r>
      <w:r>
        <w:t xml:space="preserve">(-4,9%), </w:t>
      </w:r>
      <w:r w:rsidR="00B92D11">
        <w:t>influidos por la caída</w:t>
      </w:r>
      <w:r w:rsidR="00084BFA">
        <w:t xml:space="preserve">, de carácter estacional, </w:t>
      </w:r>
      <w:r>
        <w:t xml:space="preserve">de vestido y calzado (14,7%), así como de las medicinas (-1,2%). El segundo grupo con una incidencia negativa fueron los servicios </w:t>
      </w:r>
      <w:r w:rsidR="00B92D11">
        <w:t>(-0,3%), entre los que destaca</w:t>
      </w:r>
      <w:r>
        <w:t xml:space="preserve">n las partidas de turismo y hostelería (-1,3%) y la ya mencionada de comunicaciones (-1,2%). </w:t>
      </w:r>
    </w:p>
    <w:p w:rsidR="004055D9" w:rsidRDefault="004055D9" w:rsidP="00F37DA8">
      <w:pPr>
        <w:pStyle w:val="Sangradetextonormal"/>
        <w:ind w:left="2552"/>
      </w:pPr>
    </w:p>
    <w:p w:rsidR="00F37DA8" w:rsidRDefault="00F37DA8" w:rsidP="00F37DA8">
      <w:pPr>
        <w:pStyle w:val="Sangradetextonormal"/>
        <w:ind w:left="2552"/>
      </w:pPr>
      <w:r>
        <w:t xml:space="preserve">La alimentación fresca aumentó un 0,7%, debido a </w:t>
      </w:r>
      <w:r w:rsidR="00B92D11">
        <w:t xml:space="preserve">las </w:t>
      </w:r>
      <w:r>
        <w:t>frutas frescas (2,7%), patatas y sus preparados (1,7%) y pescado fresco (1,8%)</w:t>
      </w:r>
      <w:r w:rsidR="00B92D11">
        <w:t>. E</w:t>
      </w:r>
      <w:r>
        <w:t>n sentido contrario, destac</w:t>
      </w:r>
      <w:r w:rsidR="004055D9">
        <w:t>ó</w:t>
      </w:r>
      <w:r>
        <w:t xml:space="preserve"> la caída mensual de la carne de ovino (3,7%) y de legumbres y hortalizas frescas (1,8%). La alimentación elaborada mostró también un avance mensual del 0,7%, como resultado de la </w:t>
      </w:r>
      <w:r>
        <w:lastRenderedPageBreak/>
        <w:t>subida del precio del tabaco (3,5%) y del alza de los precios del aceite (1,2%). Los productos energéticos subieron un 0,1% en el mes, con claras diferencias entre sus componentes: mientras los carburantes y combustibles registraron un</w:t>
      </w:r>
      <w:r w:rsidR="00B92D11">
        <w:t>a subida del</w:t>
      </w:r>
      <w:r>
        <w:t xml:space="preserve"> 1,8%, la electricidad anotó un </w:t>
      </w:r>
      <w:r w:rsidR="00084BFA">
        <w:t xml:space="preserve">descenso del </w:t>
      </w:r>
      <w:r>
        <w:t>4,2%.</w:t>
      </w:r>
    </w:p>
    <w:p w:rsidR="004055D9" w:rsidRDefault="004055D9" w:rsidP="00F37DA8">
      <w:pPr>
        <w:pStyle w:val="Sangradetextonormal"/>
        <w:ind w:left="2552"/>
      </w:pPr>
    </w:p>
    <w:p w:rsidR="00F37DA8" w:rsidRPr="00B92D11" w:rsidRDefault="00F37DA8" w:rsidP="00F37DA8">
      <w:pPr>
        <w:pStyle w:val="Sangradetextonormal"/>
        <w:ind w:left="2552"/>
      </w:pPr>
      <w:r w:rsidRPr="00B92D11">
        <w:t xml:space="preserve">En enero la tasa anual del IPC a impuestos constantes disminuyó tres décimas, hasta el 0,6%, mientras que la subyacente se mantuvo en el 0,2%. Dentro de la inflación subyacente la disparidad de comportamientos también fue notable, con una caída de los </w:t>
      </w:r>
      <w:r w:rsidR="004055D9" w:rsidRPr="00B92D11">
        <w:t xml:space="preserve">bienes industriales no energéticos </w:t>
      </w:r>
      <w:r w:rsidRPr="00B92D11">
        <w:t xml:space="preserve">(-0,8%), la práctica estabilidad de los servicios (0,1%) y una tasa más alta para la alimentación elaborada (2%). Fuera del bloque de la inflación subyacente, la tasa de los alimentos frescos (3,3%) </w:t>
      </w:r>
      <w:r w:rsidR="004055D9" w:rsidRPr="00B92D11">
        <w:t xml:space="preserve">fue </w:t>
      </w:r>
      <w:r w:rsidRPr="00B92D11">
        <w:t>superior a la de los productos energéticos (2,4%).</w:t>
      </w:r>
    </w:p>
    <w:p w:rsidR="004055D9" w:rsidRPr="00B92D11" w:rsidRDefault="004055D9" w:rsidP="00F37DA8">
      <w:pPr>
        <w:pStyle w:val="Sangradetextonormal"/>
        <w:ind w:left="2552"/>
      </w:pPr>
    </w:p>
    <w:p w:rsidR="00F37DA8" w:rsidRDefault="00F37DA8" w:rsidP="00F37DA8">
      <w:pPr>
        <w:pStyle w:val="Sangradetextonormal"/>
        <w:ind w:left="2552"/>
      </w:pPr>
      <w:r>
        <w:t>El INE ha publicado también el IPC armonizado (IPCA) de enero, cuya tasa anual se sit</w:t>
      </w:r>
      <w:r w:rsidR="004055D9">
        <w:t xml:space="preserve">uó </w:t>
      </w:r>
      <w:r>
        <w:t xml:space="preserve">en el 2,8%, dos décimas menos que en el mes anterior. Al comparar con la tasa anual estimada por </w:t>
      </w:r>
      <w:proofErr w:type="spellStart"/>
      <w:r>
        <w:t>Eurostat</w:t>
      </w:r>
      <w:proofErr w:type="spellEnd"/>
      <w:r>
        <w:t xml:space="preserve"> para el conjunto de la zona euro (2%), el diferencial desfavorable a España se mantendría en 0,8 puntos, por tercer mes consecutivo. El IPCA a impuestos constantes se situó en el 0,7%, dos décimas menos que en diciembre.</w:t>
      </w:r>
    </w:p>
    <w:p w:rsidR="004055D9" w:rsidRDefault="004055D9" w:rsidP="00F37DA8">
      <w:pPr>
        <w:pStyle w:val="Sangradetextonormal"/>
        <w:ind w:left="2552"/>
      </w:pPr>
    </w:p>
    <w:p w:rsidR="00F37DA8" w:rsidRDefault="00F37DA8" w:rsidP="00F37DA8">
      <w:pPr>
        <w:pStyle w:val="Sangradetextonormal"/>
        <w:ind w:left="2552"/>
      </w:pPr>
      <w:r>
        <w:t xml:space="preserve">El año 2013 ha comenzado con una tendencia </w:t>
      </w:r>
      <w:r w:rsidR="00B92D11">
        <w:t xml:space="preserve">hacia una suave moderación </w:t>
      </w:r>
      <w:r w:rsidR="00084BFA">
        <w:t>de los precios, si</w:t>
      </w:r>
      <w:r>
        <w:t>milar a la de los último</w:t>
      </w:r>
      <w:r w:rsidR="00B92D11">
        <w:t xml:space="preserve">s meses del año anterior, </w:t>
      </w:r>
      <w:r>
        <w:t>que previsiblemente continuará durante todo el año</w:t>
      </w:r>
      <w:r w:rsidR="00B92D11">
        <w:t xml:space="preserve">. </w:t>
      </w:r>
      <w:r w:rsidR="00084BFA">
        <w:t xml:space="preserve">Cabe esperar </w:t>
      </w:r>
      <w:r w:rsidR="00B92D11">
        <w:t xml:space="preserve">que el </w:t>
      </w:r>
      <w:r>
        <w:t xml:space="preserve">ejercicio </w:t>
      </w:r>
      <w:r w:rsidR="00B92D11">
        <w:t xml:space="preserve">finalice </w:t>
      </w:r>
      <w:r>
        <w:t xml:space="preserve">en tasas </w:t>
      </w:r>
      <w:r w:rsidR="00084BFA">
        <w:t xml:space="preserve">de inflación </w:t>
      </w:r>
      <w:r>
        <w:t xml:space="preserve">apreciablemente más bajas que las actuales. La continuidad en la corrección de </w:t>
      </w:r>
      <w:r w:rsidR="00084BFA">
        <w:t xml:space="preserve">los </w:t>
      </w:r>
      <w:r>
        <w:t>precios, unid</w:t>
      </w:r>
      <w:r w:rsidR="004055D9">
        <w:t>a</w:t>
      </w:r>
      <w:r>
        <w:t xml:space="preserve"> a la de </w:t>
      </w:r>
      <w:r w:rsidR="00B92D11">
        <w:t>los costes laborales</w:t>
      </w:r>
      <w:r w:rsidR="004055D9">
        <w:t>,</w:t>
      </w:r>
      <w:r>
        <w:t xml:space="preserve"> permitirá </w:t>
      </w:r>
      <w:r w:rsidR="00084BFA">
        <w:t xml:space="preserve">ampliar las mejoras </w:t>
      </w:r>
      <w:r>
        <w:t xml:space="preserve"> de competitividad</w:t>
      </w:r>
      <w:r w:rsidR="00B92D11">
        <w:t xml:space="preserve"> </w:t>
      </w:r>
      <w:r w:rsidR="00084BFA">
        <w:t>d</w:t>
      </w:r>
      <w:bookmarkStart w:id="0" w:name="_GoBack"/>
      <w:bookmarkEnd w:id="0"/>
      <w:r w:rsidR="00084BFA">
        <w:t>e</w:t>
      </w:r>
      <w:r w:rsidR="00B92D11">
        <w:t xml:space="preserve"> la economía española</w:t>
      </w:r>
      <w:r w:rsidR="004055D9">
        <w:t>,</w:t>
      </w:r>
      <w:r>
        <w:t xml:space="preserve"> con el consecuente efecto positivo sobre la inversión y las exportaciones</w:t>
      </w:r>
      <w:r w:rsidR="00B92D11">
        <w:t xml:space="preserve">. Ambos son </w:t>
      </w:r>
      <w:r>
        <w:t>elem</w:t>
      </w:r>
      <w:r w:rsidR="00B92D11">
        <w:t xml:space="preserve">entos necesarios para una </w:t>
      </w:r>
      <w:r>
        <w:t>recuperación del crecimiento de nuestra economía</w:t>
      </w:r>
      <w:r w:rsidR="00B92D11">
        <w:t xml:space="preserve"> a lo largo del ejercicio</w:t>
      </w:r>
      <w:r>
        <w:t xml:space="preserve">. </w:t>
      </w:r>
    </w:p>
    <w:p w:rsidR="000F0A9B" w:rsidRDefault="000F0A9B" w:rsidP="00B05E10">
      <w:pPr>
        <w:pStyle w:val="Sangradetextonormal"/>
        <w:ind w:left="2552"/>
      </w:pPr>
    </w:p>
    <w:p w:rsidR="000F0A9B" w:rsidRPr="000F0A9B" w:rsidRDefault="000F0A9B" w:rsidP="000F0A9B"/>
    <w:p w:rsidR="000F0A9B" w:rsidRPr="000F0A9B" w:rsidRDefault="000F0A9B" w:rsidP="000F0A9B"/>
    <w:p w:rsidR="000F0A9B" w:rsidRPr="000F0A9B" w:rsidRDefault="000F0A9B" w:rsidP="000F0A9B"/>
    <w:p w:rsidR="000F0A9B" w:rsidRPr="000F0A9B" w:rsidRDefault="000F0A9B" w:rsidP="000F0A9B"/>
    <w:p w:rsidR="000F0A9B" w:rsidRPr="000F0A9B" w:rsidRDefault="000F0A9B" w:rsidP="000F0A9B"/>
    <w:p w:rsidR="000F0A9B" w:rsidRDefault="000F0A9B" w:rsidP="000F0A9B"/>
    <w:p w:rsidR="000F0A9B" w:rsidRPr="000F0A9B" w:rsidRDefault="000F0A9B" w:rsidP="000F0A9B">
      <w:pPr>
        <w:tabs>
          <w:tab w:val="left" w:pos="2370"/>
        </w:tabs>
        <w:ind w:left="255"/>
      </w:pPr>
    </w:p>
    <w:sectPr w:rsidR="000F0A9B" w:rsidRPr="000F0A9B" w:rsidSect="005941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73" w:right="1474" w:bottom="1701" w:left="340" w:header="284" w:footer="417" w:gutter="0"/>
      <w:pgNumType w:chapStyle="1" w:chapSep="enDash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08A" w:rsidRDefault="00CA308A">
      <w:r>
        <w:separator/>
      </w:r>
    </w:p>
  </w:endnote>
  <w:endnote w:type="continuationSeparator" w:id="0">
    <w:p w:rsidR="00CA308A" w:rsidRDefault="00CA3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3E6" w:rsidRDefault="005B76B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C13E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13E6" w:rsidRDefault="004C13E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6" w:type="dxa"/>
      <w:tblInd w:w="1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551"/>
      <w:gridCol w:w="6379"/>
      <w:gridCol w:w="2126"/>
    </w:tblGrid>
    <w:tr w:rsidR="004C13E6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C13E6" w:rsidRDefault="004C13E6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:rsidR="004C13E6" w:rsidRPr="00667EE8" w:rsidRDefault="005C4B04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sz w:val="22"/>
            </w:rPr>
            <w:t>prensa.mineco@mineco</w:t>
          </w:r>
          <w:r w:rsidR="004C13E6" w:rsidRPr="00667EE8">
            <w:rPr>
              <w:rFonts w:ascii="Arial Narrow" w:hAnsi="Arial Narrow"/>
              <w:sz w:val="22"/>
            </w:rPr>
            <w:t>.es</w:t>
          </w:r>
        </w:p>
        <w:p w:rsidR="004C13E6" w:rsidRDefault="004C13E6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C13E6" w:rsidRDefault="004C13E6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126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4C13E6" w:rsidRDefault="00F07121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Pº de la Castellana, 162</w:t>
          </w:r>
        </w:p>
        <w:p w:rsidR="004C13E6" w:rsidRDefault="004C13E6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28071 - MADRID</w:t>
          </w:r>
        </w:p>
        <w:p w:rsidR="004C13E6" w:rsidRDefault="005C4B04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91 583 58 13</w:t>
          </w:r>
        </w:p>
        <w:p w:rsidR="004C13E6" w:rsidRDefault="004C13E6">
          <w:pPr>
            <w:spacing w:after="120"/>
            <w:ind w:left="74"/>
          </w:pPr>
        </w:p>
      </w:tc>
    </w:tr>
    <w:tr w:rsidR="004C13E6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C13E6" w:rsidRDefault="004C13E6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 w:rsidR="005B76BA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5B76BA">
            <w:rPr>
              <w:sz w:val="20"/>
            </w:rPr>
            <w:fldChar w:fldCharType="separate"/>
          </w:r>
          <w:r w:rsidR="00054DB6">
            <w:rPr>
              <w:noProof/>
              <w:sz w:val="20"/>
            </w:rPr>
            <w:t>3</w:t>
          </w:r>
          <w:r w:rsidR="005B76BA"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 w:rsidR="005B76BA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5B76BA">
            <w:rPr>
              <w:sz w:val="20"/>
            </w:rPr>
            <w:fldChar w:fldCharType="separate"/>
          </w:r>
          <w:r w:rsidR="00054DB6">
            <w:rPr>
              <w:noProof/>
              <w:sz w:val="20"/>
            </w:rPr>
            <w:t>3</w:t>
          </w:r>
          <w:r w:rsidR="005B76BA">
            <w:rPr>
              <w:sz w:val="20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C13E6" w:rsidRDefault="005B76BA" w:rsidP="00F07121">
          <w:pPr>
            <w:jc w:val="center"/>
            <w:rPr>
              <w:rFonts w:ascii="Arial Narrow" w:hAnsi="Arial Narrow"/>
              <w:b/>
              <w:bCs/>
              <w:sz w:val="22"/>
            </w:rPr>
          </w:pPr>
          <w:hyperlink r:id="rId1" w:history="1">
            <w:r w:rsidR="00F07121" w:rsidRPr="007D1B3C">
              <w:rPr>
                <w:rStyle w:val="Hipervnculo"/>
                <w:rFonts w:ascii="Arial Narrow" w:hAnsi="Arial Narrow"/>
                <w:b/>
                <w:sz w:val="22"/>
                <w:szCs w:val="22"/>
              </w:rPr>
              <w:t>www.mineco.gob.es</w:t>
            </w:r>
          </w:hyperlink>
        </w:p>
      </w:tc>
      <w:tc>
        <w:tcPr>
          <w:tcW w:w="2126" w:type="dxa"/>
          <w:vMerge/>
          <w:tcBorders>
            <w:left w:val="single" w:sz="4" w:space="0" w:color="auto"/>
            <w:bottom w:val="nil"/>
            <w:right w:val="nil"/>
          </w:tcBorders>
        </w:tcPr>
        <w:p w:rsidR="004C13E6" w:rsidRDefault="004C13E6"/>
      </w:tc>
    </w:tr>
  </w:tbl>
  <w:p w:rsidR="004C13E6" w:rsidRDefault="004C13E6">
    <w:pPr>
      <w:pStyle w:val="Piedepgina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6" w:type="dxa"/>
      <w:tblInd w:w="1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551"/>
      <w:gridCol w:w="6379"/>
      <w:gridCol w:w="2126"/>
    </w:tblGrid>
    <w:tr w:rsidR="004C13E6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C13E6" w:rsidRDefault="004C13E6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:rsidR="004C13E6" w:rsidRPr="005B2EDF" w:rsidRDefault="005C4B04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sz w:val="22"/>
            </w:rPr>
            <w:t>prensa.mineco</w:t>
          </w:r>
          <w:r w:rsidR="004C13E6" w:rsidRPr="005B2EDF">
            <w:rPr>
              <w:rFonts w:ascii="Arial Narrow" w:hAnsi="Arial Narrow"/>
              <w:sz w:val="22"/>
            </w:rPr>
            <w:t>@m</w:t>
          </w:r>
          <w:r w:rsidR="00F07121">
            <w:rPr>
              <w:rFonts w:ascii="Arial Narrow" w:hAnsi="Arial Narrow"/>
              <w:sz w:val="22"/>
            </w:rPr>
            <w:t>ineco</w:t>
          </w:r>
          <w:r w:rsidR="004C13E6" w:rsidRPr="005B2EDF">
            <w:rPr>
              <w:rFonts w:ascii="Arial Narrow" w:hAnsi="Arial Narrow"/>
              <w:sz w:val="22"/>
            </w:rPr>
            <w:t>.es</w:t>
          </w:r>
        </w:p>
        <w:p w:rsidR="004C13E6" w:rsidRDefault="004C13E6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C13E6" w:rsidRDefault="004C13E6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126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4C13E6" w:rsidRDefault="00F07121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Pº de la Castellana, 162</w:t>
          </w:r>
        </w:p>
        <w:p w:rsidR="004C13E6" w:rsidRDefault="004C13E6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28071 - MADRID</w:t>
          </w:r>
        </w:p>
        <w:p w:rsidR="004C13E6" w:rsidRDefault="005C4B04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91 583 58 13</w:t>
          </w:r>
        </w:p>
        <w:p w:rsidR="004C13E6" w:rsidRDefault="004C13E6">
          <w:pPr>
            <w:spacing w:after="120"/>
            <w:ind w:left="74"/>
          </w:pPr>
        </w:p>
      </w:tc>
    </w:tr>
    <w:tr w:rsidR="004C13E6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C13E6" w:rsidRDefault="004C13E6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 w:rsidR="005B76BA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5B76BA">
            <w:rPr>
              <w:sz w:val="20"/>
            </w:rPr>
            <w:fldChar w:fldCharType="separate"/>
          </w:r>
          <w:r w:rsidR="00054DB6">
            <w:rPr>
              <w:noProof/>
              <w:sz w:val="20"/>
            </w:rPr>
            <w:t>1</w:t>
          </w:r>
          <w:r w:rsidR="005B76BA"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 w:rsidR="005B76BA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5B76BA">
            <w:rPr>
              <w:sz w:val="20"/>
            </w:rPr>
            <w:fldChar w:fldCharType="separate"/>
          </w:r>
          <w:r w:rsidR="00054DB6">
            <w:rPr>
              <w:noProof/>
              <w:sz w:val="20"/>
            </w:rPr>
            <w:t>3</w:t>
          </w:r>
          <w:r w:rsidR="005B76BA">
            <w:rPr>
              <w:sz w:val="20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C13E6" w:rsidRPr="00A80EEE" w:rsidRDefault="005B76BA" w:rsidP="00F07121">
          <w:pPr>
            <w:jc w:val="center"/>
            <w:rPr>
              <w:rFonts w:ascii="Arial Narrow" w:hAnsi="Arial Narrow"/>
              <w:b/>
              <w:bCs/>
              <w:sz w:val="22"/>
            </w:rPr>
          </w:pPr>
          <w:hyperlink r:id="rId1" w:history="1">
            <w:r w:rsidR="00F07121" w:rsidRPr="007D1B3C">
              <w:rPr>
                <w:rStyle w:val="Hipervnculo"/>
                <w:rFonts w:ascii="Arial Narrow" w:hAnsi="Arial Narrow"/>
                <w:b/>
                <w:sz w:val="22"/>
                <w:szCs w:val="22"/>
              </w:rPr>
              <w:t>www.mineco.gob.es</w:t>
            </w:r>
          </w:hyperlink>
        </w:p>
      </w:tc>
      <w:tc>
        <w:tcPr>
          <w:tcW w:w="2126" w:type="dxa"/>
          <w:vMerge/>
          <w:tcBorders>
            <w:left w:val="single" w:sz="4" w:space="0" w:color="auto"/>
            <w:bottom w:val="nil"/>
            <w:right w:val="nil"/>
          </w:tcBorders>
        </w:tcPr>
        <w:p w:rsidR="004C13E6" w:rsidRDefault="004C13E6"/>
      </w:tc>
    </w:tr>
  </w:tbl>
  <w:p w:rsidR="004C13E6" w:rsidRDefault="004C13E6">
    <w:pPr>
      <w:pStyle w:val="Piedepgina"/>
    </w:pPr>
  </w:p>
  <w:p w:rsidR="000E5254" w:rsidRDefault="000E525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08A" w:rsidRDefault="00CA308A">
      <w:r>
        <w:separator/>
      </w:r>
    </w:p>
  </w:footnote>
  <w:footnote w:type="continuationSeparator" w:id="0">
    <w:p w:rsidR="00CA308A" w:rsidRDefault="00CA3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3E6" w:rsidRDefault="004C13E6">
    <w:pPr>
      <w:rPr>
        <w:rFonts w:ascii="Gill Sans MT" w:hAnsi="Gill Sans MT"/>
        <w:sz w:val="16"/>
      </w:rPr>
    </w:pPr>
  </w:p>
  <w:p w:rsidR="004C13E6" w:rsidRDefault="004C13E6">
    <w:pPr>
      <w:rPr>
        <w:rFonts w:ascii="Gill Sans MT" w:hAnsi="Gill Sans MT"/>
        <w:sz w:val="16"/>
      </w:rPr>
    </w:pPr>
  </w:p>
  <w:p w:rsidR="003744B3" w:rsidRDefault="003744B3">
    <w:pPr>
      <w:rPr>
        <w:rFonts w:ascii="Gill Sans MT" w:hAnsi="Gill Sans MT"/>
        <w:sz w:val="16"/>
      </w:rPr>
    </w:pPr>
  </w:p>
  <w:p w:rsidR="003744B3" w:rsidRDefault="003744B3">
    <w:pPr>
      <w:rPr>
        <w:rFonts w:ascii="Gill Sans MT" w:hAnsi="Gill Sans MT"/>
        <w:sz w:val="16"/>
      </w:rPr>
    </w:pPr>
  </w:p>
  <w:p w:rsidR="003744B3" w:rsidRDefault="003744B3">
    <w:pPr>
      <w:rPr>
        <w:rFonts w:ascii="Gill Sans MT" w:hAnsi="Gill Sans MT"/>
        <w:sz w:val="16"/>
      </w:rPr>
    </w:pPr>
  </w:p>
  <w:p w:rsidR="003744B3" w:rsidRDefault="003744B3">
    <w:pPr>
      <w:rPr>
        <w:rFonts w:ascii="Gill Sans MT" w:hAnsi="Gill Sans MT"/>
        <w:sz w:val="16"/>
      </w:rPr>
    </w:pPr>
  </w:p>
  <w:p w:rsidR="003744B3" w:rsidRDefault="003744B3">
    <w:pPr>
      <w:rPr>
        <w:rFonts w:ascii="Gill Sans MT" w:hAnsi="Gill Sans MT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3E6" w:rsidRDefault="004C13E6">
    <w:pPr>
      <w:rPr>
        <w:rFonts w:ascii="Gill Sans MT" w:hAnsi="Gill Sans MT"/>
        <w:sz w:val="16"/>
      </w:rPr>
    </w:pPr>
  </w:p>
  <w:p w:rsidR="004C13E6" w:rsidRDefault="004C13E6">
    <w:pPr>
      <w:rPr>
        <w:rFonts w:ascii="Gill Sans MT" w:hAnsi="Gill Sans MT"/>
        <w:sz w:val="16"/>
      </w:rPr>
    </w:pPr>
  </w:p>
  <w:p w:rsidR="004C13E6" w:rsidRDefault="004C13E6">
    <w:pPr>
      <w:rPr>
        <w:rFonts w:ascii="Gill Sans MT" w:hAnsi="Gill Sans MT"/>
        <w:sz w:val="16"/>
      </w:rPr>
    </w:pPr>
  </w:p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/>
    </w:tblPr>
    <w:tblGrid>
      <w:gridCol w:w="1346"/>
      <w:gridCol w:w="7584"/>
      <w:gridCol w:w="3473"/>
    </w:tblGrid>
    <w:tr w:rsidR="00E76BF4" w:rsidTr="00544AF0">
      <w:trPr>
        <w:cantSplit/>
        <w:trHeight w:val="543"/>
      </w:trPr>
      <w:tc>
        <w:tcPr>
          <w:tcW w:w="1346" w:type="dxa"/>
          <w:vMerge w:val="restart"/>
        </w:tcPr>
        <w:bookmarkStart w:id="1" w:name="_MON_1030352108"/>
        <w:bookmarkEnd w:id="1"/>
        <w:p w:rsidR="00E76BF4" w:rsidRDefault="00E76BF4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9.25pt" o:ole="" fillcolor="window">
                <v:imagedata r:id="rId1" o:title=""/>
              </v:shape>
              <o:OLEObject Type="Embed" ProgID="Word.Picture.8" ShapeID="_x0000_i1025" DrawAspect="Content" ObjectID="_1422434175" r:id="rId2"/>
            </w:object>
          </w:r>
        </w:p>
      </w:tc>
      <w:tc>
        <w:tcPr>
          <w:tcW w:w="7584" w:type="dxa"/>
          <w:vMerge w:val="restart"/>
        </w:tcPr>
        <w:p w:rsidR="00E76BF4" w:rsidRDefault="00E76BF4">
          <w:pPr>
            <w:spacing w:before="360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 xml:space="preserve">MINISTERIO </w:t>
          </w:r>
        </w:p>
        <w:p w:rsidR="00E76BF4" w:rsidRDefault="00E76BF4" w:rsidP="008A68DE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 xml:space="preserve">DE </w:t>
          </w:r>
          <w:r w:rsidR="00F07121">
            <w:rPr>
              <w:rFonts w:ascii="Gill Sans MT" w:hAnsi="Gill Sans MT"/>
              <w:sz w:val="22"/>
            </w:rPr>
            <w:t>ECONOMÍA</w:t>
          </w:r>
        </w:p>
        <w:p w:rsidR="00E76BF4" w:rsidRDefault="00E76BF4" w:rsidP="00F07121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>
            <w:rPr>
              <w:rFonts w:ascii="Gill Sans MT" w:hAnsi="Gill Sans MT"/>
              <w:sz w:val="22"/>
            </w:rPr>
            <w:t xml:space="preserve">Y </w:t>
          </w:r>
          <w:r w:rsidR="00F07121">
            <w:rPr>
              <w:rFonts w:ascii="Gill Sans MT" w:hAnsi="Gill Sans MT"/>
              <w:sz w:val="22"/>
            </w:rPr>
            <w:t>COMPETI</w:t>
          </w:r>
          <w:r w:rsidR="00EC3678">
            <w:rPr>
              <w:rFonts w:ascii="Gill Sans MT" w:hAnsi="Gill Sans MT"/>
              <w:sz w:val="22"/>
            </w:rPr>
            <w:t>TI</w:t>
          </w:r>
          <w:r w:rsidR="00F07121">
            <w:rPr>
              <w:rFonts w:ascii="Gill Sans MT" w:hAnsi="Gill Sans MT"/>
              <w:sz w:val="22"/>
            </w:rPr>
            <w:t>VIDAD</w:t>
          </w:r>
        </w:p>
      </w:tc>
      <w:tc>
        <w:tcPr>
          <w:tcW w:w="3473" w:type="dxa"/>
          <w:vAlign w:val="center"/>
        </w:tcPr>
        <w:p w:rsidR="00E76BF4" w:rsidRDefault="00E76BF4" w:rsidP="00F661C9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rFonts w:ascii="Gill Sans MT" w:hAnsi="Gill Sans MT"/>
              <w:kern w:val="16"/>
              <w:sz w:val="14"/>
            </w:rPr>
          </w:pPr>
        </w:p>
        <w:p w:rsidR="00E76BF4" w:rsidRDefault="00E76BF4" w:rsidP="00F661C9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  <w:r>
            <w:rPr>
              <w:rFonts w:ascii="Gill Sans MT" w:hAnsi="Gill Sans MT"/>
              <w:kern w:val="16"/>
              <w:sz w:val="14"/>
            </w:rPr>
            <w:t>GABINETE DE PRENSA</w:t>
          </w:r>
        </w:p>
      </w:tc>
    </w:tr>
    <w:tr w:rsidR="00E76BF4">
      <w:trPr>
        <w:cantSplit/>
        <w:trHeight w:val="40"/>
      </w:trPr>
      <w:tc>
        <w:tcPr>
          <w:tcW w:w="1346" w:type="dxa"/>
          <w:vMerge/>
        </w:tcPr>
        <w:p w:rsidR="00E76BF4" w:rsidRDefault="00E76BF4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584" w:type="dxa"/>
          <w:vMerge/>
        </w:tcPr>
        <w:p w:rsidR="00E76BF4" w:rsidRDefault="00E76BF4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vAlign w:val="center"/>
        </w:tcPr>
        <w:p w:rsidR="00E76BF4" w:rsidRDefault="00E76BF4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:rsidR="004C13E6" w:rsidRDefault="004C13E6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:rsidR="004C13E6" w:rsidRDefault="004C13E6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:rsidR="004C13E6" w:rsidRDefault="004C13E6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:rsidR="004C13E6" w:rsidRDefault="004C13E6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A4646"/>
    <w:multiLevelType w:val="hybridMultilevel"/>
    <w:tmpl w:val="65E8E5B6"/>
    <w:lvl w:ilvl="0" w:tplc="6EE826B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36E23B62"/>
    <w:multiLevelType w:val="hybridMultilevel"/>
    <w:tmpl w:val="DB64378E"/>
    <w:lvl w:ilvl="0" w:tplc="01265D5C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">
    <w:nsid w:val="75E937F7"/>
    <w:multiLevelType w:val="hybridMultilevel"/>
    <w:tmpl w:val="F60483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EE46E0"/>
    <w:multiLevelType w:val="hybridMultilevel"/>
    <w:tmpl w:val="65E8E5B6"/>
    <w:lvl w:ilvl="0" w:tplc="01265D5C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6C0F7F"/>
    <w:rsid w:val="00035376"/>
    <w:rsid w:val="00042942"/>
    <w:rsid w:val="00050CD0"/>
    <w:rsid w:val="00054DB6"/>
    <w:rsid w:val="00084BFA"/>
    <w:rsid w:val="00097F3C"/>
    <w:rsid w:val="000E5254"/>
    <w:rsid w:val="000F0A9B"/>
    <w:rsid w:val="001205A3"/>
    <w:rsid w:val="00134A12"/>
    <w:rsid w:val="00153EFF"/>
    <w:rsid w:val="001A1444"/>
    <w:rsid w:val="001B64DE"/>
    <w:rsid w:val="001D3966"/>
    <w:rsid w:val="002421FC"/>
    <w:rsid w:val="00256ECC"/>
    <w:rsid w:val="002A27E8"/>
    <w:rsid w:val="002A319D"/>
    <w:rsid w:val="003020F4"/>
    <w:rsid w:val="0032614A"/>
    <w:rsid w:val="003744B3"/>
    <w:rsid w:val="003C04C6"/>
    <w:rsid w:val="003E1C05"/>
    <w:rsid w:val="004055D9"/>
    <w:rsid w:val="00442888"/>
    <w:rsid w:val="004921A5"/>
    <w:rsid w:val="004A670B"/>
    <w:rsid w:val="004C13E6"/>
    <w:rsid w:val="004C5C74"/>
    <w:rsid w:val="0054140D"/>
    <w:rsid w:val="005941EE"/>
    <w:rsid w:val="005B2EDF"/>
    <w:rsid w:val="005B76BA"/>
    <w:rsid w:val="005C4B04"/>
    <w:rsid w:val="005E5D1E"/>
    <w:rsid w:val="00624D9C"/>
    <w:rsid w:val="00667EE8"/>
    <w:rsid w:val="006C0F7F"/>
    <w:rsid w:val="007157D3"/>
    <w:rsid w:val="00745DD4"/>
    <w:rsid w:val="00751EFE"/>
    <w:rsid w:val="00817FFE"/>
    <w:rsid w:val="00837699"/>
    <w:rsid w:val="00853EBA"/>
    <w:rsid w:val="008A68DE"/>
    <w:rsid w:val="008E5658"/>
    <w:rsid w:val="00901A78"/>
    <w:rsid w:val="009510DC"/>
    <w:rsid w:val="0097495D"/>
    <w:rsid w:val="00993C73"/>
    <w:rsid w:val="00A15B16"/>
    <w:rsid w:val="00A53CE6"/>
    <w:rsid w:val="00A80EEE"/>
    <w:rsid w:val="00B05E10"/>
    <w:rsid w:val="00B5016E"/>
    <w:rsid w:val="00B555B3"/>
    <w:rsid w:val="00B92863"/>
    <w:rsid w:val="00B92D11"/>
    <w:rsid w:val="00C01751"/>
    <w:rsid w:val="00C6591F"/>
    <w:rsid w:val="00CA308A"/>
    <w:rsid w:val="00CC7F2C"/>
    <w:rsid w:val="00CD6A1D"/>
    <w:rsid w:val="00D84AED"/>
    <w:rsid w:val="00E54068"/>
    <w:rsid w:val="00E76BF4"/>
    <w:rsid w:val="00E83BE6"/>
    <w:rsid w:val="00EC2AEB"/>
    <w:rsid w:val="00EC3678"/>
    <w:rsid w:val="00EE2F42"/>
    <w:rsid w:val="00F07121"/>
    <w:rsid w:val="00F37DA8"/>
    <w:rsid w:val="00FB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6BA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rsid w:val="005B76BA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5B76BA"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5B76BA"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rsid w:val="005B76BA"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rsid w:val="005B76BA"/>
    <w:pPr>
      <w:jc w:val="both"/>
    </w:pPr>
    <w:rPr>
      <w:b/>
    </w:rPr>
  </w:style>
  <w:style w:type="paragraph" w:customStyle="1" w:styleId="Negrita">
    <w:name w:val="Negrita"/>
    <w:basedOn w:val="Normal"/>
    <w:next w:val="Normal"/>
    <w:rsid w:val="005B76BA"/>
    <w:rPr>
      <w:b/>
      <w:color w:val="FF0000"/>
    </w:rPr>
  </w:style>
  <w:style w:type="paragraph" w:customStyle="1" w:styleId="UNO">
    <w:name w:val="UNO"/>
    <w:basedOn w:val="Normal"/>
    <w:next w:val="Normal"/>
    <w:autoRedefine/>
    <w:rsid w:val="005B76BA"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rsid w:val="005B76BA"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rsid w:val="005B76BA"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rsid w:val="005B76BA"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rsid w:val="005B76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rsid w:val="005B76BA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rsid w:val="005B76B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76BA"/>
  </w:style>
  <w:style w:type="paragraph" w:customStyle="1" w:styleId="Rpido">
    <w:name w:val="Rápido _"/>
    <w:rsid w:val="005B76BA"/>
    <w:rPr>
      <w:snapToGrid w:val="0"/>
      <w:sz w:val="24"/>
      <w:lang w:val="es-ES_tradnl"/>
    </w:rPr>
  </w:style>
  <w:style w:type="paragraph" w:styleId="Sangradetextonormal">
    <w:name w:val="Body Text Indent"/>
    <w:basedOn w:val="Normal"/>
    <w:rsid w:val="005B76BA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rsid w:val="005B76BA"/>
    <w:rPr>
      <w:color w:val="FF0000"/>
      <w:sz w:val="20"/>
      <w:lang w:val="es-ES_tradnl"/>
    </w:rPr>
  </w:style>
  <w:style w:type="paragraph" w:styleId="Textoindependiente3">
    <w:name w:val="Body Text 3"/>
    <w:basedOn w:val="Normal"/>
    <w:rsid w:val="005B76BA"/>
    <w:pPr>
      <w:jc w:val="both"/>
    </w:pPr>
    <w:rPr>
      <w:sz w:val="32"/>
    </w:rPr>
  </w:style>
  <w:style w:type="character" w:styleId="Hipervnculo">
    <w:name w:val="Hyperlink"/>
    <w:basedOn w:val="Fuentedeprrafopredeter"/>
    <w:rsid w:val="00A80EE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D39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3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styleId="Textoindependiente3">
    <w:name w:val="Body Text 3"/>
    <w:basedOn w:val="Normal"/>
    <w:pPr>
      <w:jc w:val="both"/>
    </w:pPr>
    <w:rPr>
      <w:sz w:val="32"/>
    </w:rPr>
  </w:style>
  <w:style w:type="character" w:styleId="Hipervnculo">
    <w:name w:val="Hyperlink"/>
    <w:basedOn w:val="Fuentedeprrafopredeter"/>
    <w:rsid w:val="00A80EE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D39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3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o.gob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o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os\Gabinete%20de%20Prensa\9.%20PLANTILLAS%20MHCYAAPP\Nota%20HAC%20AAP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011D-28BD-43EB-82EA-0D017463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HAC AAPP</Template>
  <TotalTime>1</TotalTime>
  <Pages>3</Pages>
  <Words>904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5868</CharactersWithSpaces>
  <SharedDoc>false</SharedDoc>
  <HLinks>
    <vt:vector size="12" baseType="variant">
      <vt:variant>
        <vt:i4>1441863</vt:i4>
      </vt:variant>
      <vt:variant>
        <vt:i4>23</vt:i4>
      </vt:variant>
      <vt:variant>
        <vt:i4>0</vt:i4>
      </vt:variant>
      <vt:variant>
        <vt:i4>5</vt:i4>
      </vt:variant>
      <vt:variant>
        <vt:lpwstr>http://www.economiayhacienda.gob.es/</vt:lpwstr>
      </vt:variant>
      <vt:variant>
        <vt:lpwstr/>
      </vt:variant>
      <vt:variant>
        <vt:i4>1441863</vt:i4>
      </vt:variant>
      <vt:variant>
        <vt:i4>11</vt:i4>
      </vt:variant>
      <vt:variant>
        <vt:i4>0</vt:i4>
      </vt:variant>
      <vt:variant>
        <vt:i4>5</vt:i4>
      </vt:variant>
      <vt:variant>
        <vt:lpwstr>http://www.economiayhacienda.gob.es/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Fernández Tostado, José Luis</dc:creator>
  <cp:lastModifiedBy>usuario</cp:lastModifiedBy>
  <cp:revision>2</cp:revision>
  <cp:lastPrinted>2013-02-15T10:20:00Z</cp:lastPrinted>
  <dcterms:created xsi:type="dcterms:W3CDTF">2013-02-15T10:50:00Z</dcterms:created>
  <dcterms:modified xsi:type="dcterms:W3CDTF">2013-02-15T10:50:00Z</dcterms:modified>
</cp:coreProperties>
</file>