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81A" w:rsidRPr="002A13D9" w:rsidRDefault="008B081A" w:rsidP="00647FA9">
      <w:pPr>
        <w:spacing w:before="120"/>
        <w:jc w:val="both"/>
        <w:rPr>
          <w:rFonts w:asciiTheme="minorHAnsi" w:hAnsiTheme="minorHAnsi" w:cstheme="minorHAnsi"/>
          <w:b/>
        </w:rPr>
      </w:pPr>
      <w:r w:rsidRPr="002A13D9">
        <w:rPr>
          <w:rFonts w:asciiTheme="minorHAnsi" w:hAnsiTheme="minorHAnsi" w:cstheme="minorHAnsi"/>
          <w:b/>
        </w:rPr>
        <w:t>ALEGACIONES DEL CONSEJO G</w:t>
      </w:r>
      <w:r w:rsidR="00043359">
        <w:rPr>
          <w:rFonts w:asciiTheme="minorHAnsi" w:hAnsiTheme="minorHAnsi" w:cstheme="minorHAnsi"/>
          <w:b/>
        </w:rPr>
        <w:t>ENERAL DE ECONOMISTAS EN RELACIÓ</w:t>
      </w:r>
      <w:r w:rsidRPr="002A13D9">
        <w:rPr>
          <w:rFonts w:asciiTheme="minorHAnsi" w:hAnsiTheme="minorHAnsi" w:cstheme="minorHAnsi"/>
          <w:b/>
        </w:rPr>
        <w:t>N AL ANTEPROYECTO DE LEY XX/2017 DEL MERCADO DE VALORES Y AL REAL DECRETO DE ADAPTACIÓN REGLAMENTARIA A LA LEY DEL MERCADO DE VALORES Y POR EL QUE SE MODIFICA PARCIALMENTE EL REAL DECRETO 217/2008,</w:t>
      </w:r>
    </w:p>
    <w:p w:rsidR="002A13D9" w:rsidRDefault="002A13D9" w:rsidP="002A13D9">
      <w:pPr>
        <w:rPr>
          <w:rFonts w:asciiTheme="minorHAnsi" w:hAnsiTheme="minorHAnsi" w:cstheme="minorHAnsi"/>
          <w:b/>
          <w:sz w:val="22"/>
          <w:szCs w:val="22"/>
        </w:rPr>
      </w:pPr>
      <w:bookmarkStart w:id="0" w:name="_Toc493227768"/>
    </w:p>
    <w:p w:rsidR="008B081A" w:rsidRPr="002A13D9" w:rsidRDefault="00350CDE" w:rsidP="002A13D9">
      <w:pPr>
        <w:rPr>
          <w:rFonts w:asciiTheme="minorHAnsi" w:hAnsiTheme="minorHAnsi" w:cstheme="minorHAnsi"/>
          <w:b/>
        </w:rPr>
      </w:pPr>
      <w:r w:rsidRPr="002A13D9">
        <w:rPr>
          <w:rFonts w:asciiTheme="minorHAnsi" w:hAnsiTheme="minorHAnsi" w:cstheme="minorHAnsi"/>
          <w:b/>
        </w:rPr>
        <w:t>I</w:t>
      </w:r>
      <w:r w:rsidR="008D523D" w:rsidRPr="002A13D9">
        <w:rPr>
          <w:rFonts w:asciiTheme="minorHAnsi" w:hAnsiTheme="minorHAnsi" w:cstheme="minorHAnsi"/>
          <w:b/>
        </w:rPr>
        <w:t>.</w:t>
      </w:r>
      <w:r w:rsidRPr="002A13D9">
        <w:rPr>
          <w:rFonts w:asciiTheme="minorHAnsi" w:hAnsiTheme="minorHAnsi" w:cstheme="minorHAnsi"/>
          <w:b/>
        </w:rPr>
        <w:t xml:space="preserve"> </w:t>
      </w:r>
      <w:r w:rsidR="00043359">
        <w:rPr>
          <w:rFonts w:asciiTheme="minorHAnsi" w:hAnsiTheme="minorHAnsi" w:cstheme="minorHAnsi"/>
          <w:b/>
        </w:rPr>
        <w:t>INTRODUCCIÓ</w:t>
      </w:r>
      <w:r w:rsidR="008D523D" w:rsidRPr="002A13D9">
        <w:rPr>
          <w:rFonts w:asciiTheme="minorHAnsi" w:hAnsiTheme="minorHAnsi" w:cstheme="minorHAnsi"/>
          <w:b/>
        </w:rPr>
        <w:t>N</w:t>
      </w:r>
      <w:bookmarkEnd w:id="0"/>
    </w:p>
    <w:p w:rsidR="004073A5" w:rsidRDefault="0076415F" w:rsidP="00BF6024">
      <w:pPr>
        <w:spacing w:before="120"/>
        <w:jc w:val="both"/>
        <w:rPr>
          <w:rFonts w:asciiTheme="minorHAnsi" w:hAnsiTheme="minorHAnsi" w:cstheme="minorHAnsi"/>
          <w:sz w:val="22"/>
          <w:szCs w:val="22"/>
        </w:rPr>
      </w:pPr>
      <w:r w:rsidRPr="0076415F">
        <w:rPr>
          <w:rFonts w:asciiTheme="minorHAnsi" w:hAnsiTheme="minorHAnsi" w:cstheme="minorHAnsi"/>
          <w:sz w:val="22"/>
          <w:szCs w:val="22"/>
        </w:rPr>
        <w:t xml:space="preserve">Dentro del plazo establecido en </w:t>
      </w:r>
      <w:r w:rsidR="00043359">
        <w:rPr>
          <w:rFonts w:asciiTheme="minorHAnsi" w:hAnsiTheme="minorHAnsi" w:cstheme="minorHAnsi"/>
          <w:sz w:val="22"/>
          <w:szCs w:val="22"/>
        </w:rPr>
        <w:t xml:space="preserve">el trámite de audiencia pública </w:t>
      </w:r>
      <w:r w:rsidR="000C607A">
        <w:rPr>
          <w:rFonts w:asciiTheme="minorHAnsi" w:hAnsiTheme="minorHAnsi" w:cstheme="minorHAnsi"/>
          <w:sz w:val="22"/>
          <w:szCs w:val="22"/>
        </w:rPr>
        <w:t>d</w:t>
      </w:r>
      <w:r>
        <w:rPr>
          <w:rFonts w:asciiTheme="minorHAnsi" w:hAnsiTheme="minorHAnsi" w:cstheme="minorHAnsi"/>
          <w:sz w:val="22"/>
          <w:szCs w:val="22"/>
        </w:rPr>
        <w:t>e</w:t>
      </w:r>
      <w:r w:rsidRPr="0076415F">
        <w:rPr>
          <w:rFonts w:asciiTheme="minorHAnsi" w:hAnsiTheme="minorHAnsi" w:cstheme="minorHAnsi"/>
          <w:sz w:val="22"/>
          <w:szCs w:val="22"/>
        </w:rPr>
        <w:t xml:space="preserve">l </w:t>
      </w:r>
      <w:r w:rsidRPr="0076415F">
        <w:rPr>
          <w:rFonts w:asciiTheme="minorHAnsi" w:hAnsiTheme="minorHAnsi" w:cstheme="minorHAnsi"/>
          <w:i/>
          <w:sz w:val="22"/>
          <w:szCs w:val="22"/>
        </w:rPr>
        <w:t>Anteproyecto de Ley XX/2017, de…de…, del mercado de valores</w:t>
      </w:r>
      <w:r w:rsidRPr="0076415F">
        <w:rPr>
          <w:rFonts w:asciiTheme="minorHAnsi" w:hAnsiTheme="minorHAnsi" w:cstheme="minorHAnsi"/>
          <w:sz w:val="22"/>
          <w:szCs w:val="22"/>
        </w:rPr>
        <w:t xml:space="preserve"> (en adelante Anteproyecto),</w:t>
      </w:r>
      <w:r w:rsidRPr="0076415F">
        <w:t xml:space="preserve"> </w:t>
      </w:r>
      <w:r w:rsidRPr="0076415F">
        <w:rPr>
          <w:rFonts w:asciiTheme="minorHAnsi" w:hAnsiTheme="minorHAnsi" w:cstheme="minorHAnsi"/>
          <w:sz w:val="22"/>
          <w:szCs w:val="22"/>
        </w:rPr>
        <w:t xml:space="preserve">y </w:t>
      </w:r>
      <w:r>
        <w:rPr>
          <w:rFonts w:asciiTheme="minorHAnsi" w:hAnsiTheme="minorHAnsi" w:cstheme="minorHAnsi"/>
          <w:sz w:val="22"/>
          <w:szCs w:val="22"/>
        </w:rPr>
        <w:t xml:space="preserve">sobre </w:t>
      </w:r>
      <w:r w:rsidRPr="0076415F">
        <w:rPr>
          <w:rFonts w:asciiTheme="minorHAnsi" w:hAnsiTheme="minorHAnsi" w:cstheme="minorHAnsi"/>
          <w:sz w:val="22"/>
          <w:szCs w:val="22"/>
        </w:rPr>
        <w:t>el</w:t>
      </w:r>
      <w:r w:rsidRPr="0076415F">
        <w:rPr>
          <w:rFonts w:asciiTheme="minorHAnsi" w:hAnsiTheme="minorHAnsi" w:cstheme="minorHAnsi"/>
          <w:i/>
          <w:sz w:val="22"/>
          <w:szCs w:val="22"/>
        </w:rPr>
        <w:t xml:space="preserve"> Real Decreto de adaptación reglamentaria a la ley del mercado de valores y por el que se modifica parcialmente el Real Decreto 217/2008 (</w:t>
      </w:r>
      <w:r w:rsidRPr="0076415F">
        <w:rPr>
          <w:rFonts w:asciiTheme="minorHAnsi" w:hAnsiTheme="minorHAnsi" w:cstheme="minorHAnsi"/>
          <w:sz w:val="22"/>
          <w:szCs w:val="22"/>
        </w:rPr>
        <w:t>en adelante Reglamento)</w:t>
      </w:r>
      <w:r w:rsidR="000C607A">
        <w:rPr>
          <w:rFonts w:asciiTheme="minorHAnsi" w:hAnsiTheme="minorHAnsi" w:cstheme="minorHAnsi"/>
          <w:sz w:val="22"/>
          <w:szCs w:val="22"/>
        </w:rPr>
        <w:t>,</w:t>
      </w:r>
      <w:r w:rsidRPr="0076415F">
        <w:rPr>
          <w:rFonts w:asciiTheme="minorHAnsi" w:hAnsiTheme="minorHAnsi" w:cstheme="minorHAnsi"/>
          <w:i/>
          <w:sz w:val="22"/>
          <w:szCs w:val="22"/>
        </w:rPr>
        <w:t xml:space="preserve"> </w:t>
      </w:r>
      <w:r w:rsidRPr="0076415F">
        <w:rPr>
          <w:rFonts w:asciiTheme="minorHAnsi" w:hAnsiTheme="minorHAnsi" w:cstheme="minorHAnsi"/>
          <w:sz w:val="22"/>
          <w:szCs w:val="22"/>
        </w:rPr>
        <w:t>publicad</w:t>
      </w:r>
      <w:r>
        <w:rPr>
          <w:rFonts w:asciiTheme="minorHAnsi" w:hAnsiTheme="minorHAnsi" w:cstheme="minorHAnsi"/>
          <w:sz w:val="22"/>
          <w:szCs w:val="22"/>
        </w:rPr>
        <w:t>os</w:t>
      </w:r>
      <w:r w:rsidRPr="0076415F">
        <w:rPr>
          <w:rFonts w:asciiTheme="minorHAnsi" w:hAnsiTheme="minorHAnsi" w:cstheme="minorHAnsi"/>
          <w:sz w:val="22"/>
          <w:szCs w:val="22"/>
        </w:rPr>
        <w:t xml:space="preserve"> en su página web el pasado 4 de agosto de 2017, el Consejo General de Economistas (CGE) presenta</w:t>
      </w:r>
      <w:r>
        <w:rPr>
          <w:rFonts w:asciiTheme="minorHAnsi" w:hAnsiTheme="minorHAnsi" w:cstheme="minorHAnsi"/>
          <w:sz w:val="22"/>
          <w:szCs w:val="22"/>
        </w:rPr>
        <w:t>,</w:t>
      </w:r>
      <w:r w:rsidRPr="0076415F">
        <w:rPr>
          <w:rFonts w:asciiTheme="minorHAnsi" w:hAnsiTheme="minorHAnsi" w:cstheme="minorHAnsi"/>
          <w:sz w:val="22"/>
          <w:szCs w:val="22"/>
        </w:rPr>
        <w:t xml:space="preserve"> a través de este document</w:t>
      </w:r>
      <w:r>
        <w:rPr>
          <w:rFonts w:asciiTheme="minorHAnsi" w:hAnsiTheme="minorHAnsi" w:cstheme="minorHAnsi"/>
          <w:sz w:val="22"/>
          <w:szCs w:val="22"/>
        </w:rPr>
        <w:t>o, alegaciones a ambos textos</w:t>
      </w:r>
      <w:r w:rsidR="004073A5">
        <w:rPr>
          <w:rFonts w:asciiTheme="minorHAnsi" w:hAnsiTheme="minorHAnsi" w:cstheme="minorHAnsi"/>
          <w:sz w:val="22"/>
          <w:szCs w:val="22"/>
        </w:rPr>
        <w:t>.</w:t>
      </w:r>
    </w:p>
    <w:p w:rsidR="004073A5" w:rsidRPr="004073A5" w:rsidRDefault="004073A5" w:rsidP="004073A5">
      <w:pPr>
        <w:spacing w:before="120"/>
        <w:jc w:val="both"/>
        <w:rPr>
          <w:rFonts w:asciiTheme="minorHAnsi" w:hAnsiTheme="minorHAnsi" w:cstheme="minorHAnsi"/>
          <w:sz w:val="22"/>
          <w:szCs w:val="22"/>
        </w:rPr>
      </w:pPr>
      <w:r>
        <w:rPr>
          <w:rFonts w:asciiTheme="minorHAnsi" w:hAnsiTheme="minorHAnsi" w:cstheme="minorHAnsi"/>
          <w:sz w:val="22"/>
          <w:szCs w:val="22"/>
        </w:rPr>
        <w:t>Agradeciendo la oportunidad que la Secretaría General del Tesoro y Política F</w:t>
      </w:r>
      <w:r w:rsidR="001F229B">
        <w:rPr>
          <w:rFonts w:asciiTheme="minorHAnsi" w:hAnsiTheme="minorHAnsi" w:cstheme="minorHAnsi"/>
          <w:sz w:val="22"/>
          <w:szCs w:val="22"/>
        </w:rPr>
        <w:t>inanciera</w:t>
      </w:r>
      <w:r>
        <w:rPr>
          <w:rFonts w:asciiTheme="minorHAnsi" w:hAnsiTheme="minorHAnsi" w:cstheme="minorHAnsi"/>
          <w:sz w:val="22"/>
          <w:szCs w:val="22"/>
        </w:rPr>
        <w:t xml:space="preserve"> nos ha dado de participar en la consulta, q</w:t>
      </w:r>
      <w:r w:rsidR="000C607A">
        <w:rPr>
          <w:rFonts w:asciiTheme="minorHAnsi" w:hAnsiTheme="minorHAnsi" w:cstheme="minorHAnsi"/>
          <w:sz w:val="22"/>
          <w:szCs w:val="22"/>
        </w:rPr>
        <w:t xml:space="preserve">ueremos poner de manifiesto que </w:t>
      </w:r>
      <w:r>
        <w:t>l</w:t>
      </w:r>
      <w:r w:rsidRPr="004073A5">
        <w:rPr>
          <w:rFonts w:asciiTheme="minorHAnsi" w:hAnsiTheme="minorHAnsi" w:cstheme="minorHAnsi"/>
          <w:sz w:val="22"/>
          <w:szCs w:val="22"/>
        </w:rPr>
        <w:t xml:space="preserve">a idea de </w:t>
      </w:r>
      <w:r>
        <w:rPr>
          <w:rFonts w:asciiTheme="minorHAnsi" w:hAnsiTheme="minorHAnsi" w:cstheme="minorHAnsi"/>
          <w:sz w:val="22"/>
          <w:szCs w:val="22"/>
        </w:rPr>
        <w:t xml:space="preserve">redactar </w:t>
      </w:r>
      <w:r w:rsidRPr="004073A5">
        <w:rPr>
          <w:rFonts w:asciiTheme="minorHAnsi" w:hAnsiTheme="minorHAnsi" w:cstheme="minorHAnsi"/>
          <w:sz w:val="22"/>
          <w:szCs w:val="22"/>
        </w:rPr>
        <w:t xml:space="preserve">una nueva Ley (y </w:t>
      </w:r>
      <w:r w:rsidR="000C607A">
        <w:rPr>
          <w:rFonts w:asciiTheme="minorHAnsi" w:hAnsiTheme="minorHAnsi" w:cstheme="minorHAnsi"/>
          <w:sz w:val="22"/>
          <w:szCs w:val="22"/>
        </w:rPr>
        <w:t xml:space="preserve">no utilizar el texto anterior) </w:t>
      </w:r>
      <w:r w:rsidRPr="004073A5">
        <w:rPr>
          <w:rFonts w:asciiTheme="minorHAnsi" w:hAnsiTheme="minorHAnsi" w:cstheme="minorHAnsi"/>
          <w:sz w:val="22"/>
          <w:szCs w:val="22"/>
        </w:rPr>
        <w:t xml:space="preserve">de forma simultánea a </w:t>
      </w:r>
      <w:r w:rsidR="000C607A">
        <w:rPr>
          <w:rFonts w:asciiTheme="minorHAnsi" w:hAnsiTheme="minorHAnsi" w:cstheme="minorHAnsi"/>
          <w:sz w:val="22"/>
          <w:szCs w:val="22"/>
        </w:rPr>
        <w:t xml:space="preserve">la modificación del Reglamento </w:t>
      </w:r>
      <w:r w:rsidRPr="004073A5">
        <w:rPr>
          <w:rFonts w:asciiTheme="minorHAnsi" w:hAnsiTheme="minorHAnsi" w:cstheme="minorHAnsi"/>
          <w:sz w:val="22"/>
          <w:szCs w:val="22"/>
        </w:rPr>
        <w:t xml:space="preserve">nos parece muy positiva para su coherencia interna. </w:t>
      </w:r>
    </w:p>
    <w:p w:rsidR="004073A5" w:rsidRPr="004073A5" w:rsidRDefault="004073A5" w:rsidP="004073A5">
      <w:pPr>
        <w:spacing w:before="120"/>
        <w:jc w:val="both"/>
        <w:rPr>
          <w:rFonts w:asciiTheme="minorHAnsi" w:hAnsiTheme="minorHAnsi" w:cstheme="minorHAnsi"/>
          <w:sz w:val="22"/>
          <w:szCs w:val="22"/>
        </w:rPr>
      </w:pPr>
      <w:r w:rsidRPr="004073A5">
        <w:rPr>
          <w:rFonts w:asciiTheme="minorHAnsi" w:hAnsiTheme="minorHAnsi" w:cstheme="minorHAnsi"/>
          <w:sz w:val="22"/>
          <w:szCs w:val="22"/>
        </w:rPr>
        <w:t>Aunque el</w:t>
      </w:r>
      <w:r w:rsidR="000C607A">
        <w:rPr>
          <w:rFonts w:asciiTheme="minorHAnsi" w:hAnsiTheme="minorHAnsi" w:cstheme="minorHAnsi"/>
          <w:sz w:val="22"/>
          <w:szCs w:val="22"/>
        </w:rPr>
        <w:t xml:space="preserve"> Consejo General de Economistas </w:t>
      </w:r>
      <w:r w:rsidR="000C607A" w:rsidRPr="000C607A">
        <w:rPr>
          <w:rFonts w:asciiTheme="minorHAnsi" w:eastAsia="Calibri" w:hAnsiTheme="minorHAnsi" w:cstheme="minorHAnsi"/>
          <w:sz w:val="22"/>
          <w:szCs w:val="22"/>
        </w:rPr>
        <w:t>–</w:t>
      </w:r>
      <w:r w:rsidR="000C607A" w:rsidRPr="004073A5">
        <w:rPr>
          <w:rFonts w:asciiTheme="minorHAnsi" w:hAnsiTheme="minorHAnsi" w:cstheme="minorHAnsi"/>
          <w:sz w:val="22"/>
          <w:szCs w:val="22"/>
        </w:rPr>
        <w:t>como corporación de derecho público al servicio de los economistas</w:t>
      </w:r>
      <w:r w:rsidR="000C607A">
        <w:rPr>
          <w:rFonts w:asciiTheme="minorHAnsi" w:hAnsiTheme="minorHAnsi" w:cstheme="minorHAnsi"/>
          <w:sz w:val="22"/>
          <w:szCs w:val="22"/>
        </w:rPr>
        <w:t xml:space="preserve"> y de los ciudadanos en general</w:t>
      </w:r>
      <w:r w:rsidR="000C607A" w:rsidRPr="000C607A">
        <w:rPr>
          <w:rFonts w:asciiTheme="minorHAnsi" w:eastAsia="Calibri" w:hAnsiTheme="minorHAnsi" w:cstheme="minorHAnsi"/>
          <w:sz w:val="22"/>
          <w:szCs w:val="22"/>
        </w:rPr>
        <w:t>–</w:t>
      </w:r>
      <w:r w:rsidR="000C607A">
        <w:rPr>
          <w:rFonts w:asciiTheme="minorHAnsi" w:hAnsiTheme="minorHAnsi" w:cstheme="minorHAnsi"/>
          <w:sz w:val="22"/>
          <w:szCs w:val="22"/>
        </w:rPr>
        <w:t xml:space="preserve"> </w:t>
      </w:r>
      <w:r w:rsidRPr="004073A5">
        <w:rPr>
          <w:rFonts w:asciiTheme="minorHAnsi" w:hAnsiTheme="minorHAnsi" w:cstheme="minorHAnsi"/>
          <w:sz w:val="22"/>
          <w:szCs w:val="22"/>
        </w:rPr>
        <w:t xml:space="preserve">está interesado en todos los Títulos que contiene el Anteproyecto, nos vamos a centrar especialmente en los Títulos </w:t>
      </w:r>
      <w:r w:rsidR="00E5048B">
        <w:rPr>
          <w:rFonts w:asciiTheme="minorHAnsi" w:hAnsiTheme="minorHAnsi" w:cstheme="minorHAnsi"/>
          <w:sz w:val="22"/>
          <w:szCs w:val="22"/>
        </w:rPr>
        <w:t xml:space="preserve">VI -Empresas de Servicios de Inversión- y IX –Normas de Conducta- </w:t>
      </w:r>
      <w:r>
        <w:rPr>
          <w:rFonts w:asciiTheme="minorHAnsi" w:hAnsiTheme="minorHAnsi" w:cstheme="minorHAnsi"/>
          <w:sz w:val="22"/>
          <w:szCs w:val="22"/>
        </w:rPr>
        <w:t>en lo que afecta a las E</w:t>
      </w:r>
      <w:r w:rsidRPr="004073A5">
        <w:rPr>
          <w:rFonts w:asciiTheme="minorHAnsi" w:hAnsiTheme="minorHAnsi" w:cstheme="minorHAnsi"/>
          <w:sz w:val="22"/>
          <w:szCs w:val="22"/>
        </w:rPr>
        <w:t>mpresas de Asesoramiento Financiero, en la medida en que el órgano especializado Economistas Asesores Financieros del citado Consejo, EAF-CGE</w:t>
      </w:r>
      <w:r w:rsidR="000C607A">
        <w:rPr>
          <w:rFonts w:asciiTheme="minorHAnsi" w:hAnsiTheme="minorHAnsi" w:cstheme="minorHAnsi"/>
          <w:sz w:val="22"/>
          <w:szCs w:val="22"/>
        </w:rPr>
        <w:t>,</w:t>
      </w:r>
      <w:r w:rsidRPr="004073A5">
        <w:rPr>
          <w:rFonts w:asciiTheme="minorHAnsi" w:hAnsiTheme="minorHAnsi" w:cstheme="minorHAnsi"/>
          <w:sz w:val="22"/>
          <w:szCs w:val="22"/>
        </w:rPr>
        <w:t xml:space="preserve"> tiene entre sus miembros a</w:t>
      </w:r>
      <w:r w:rsidR="001F229B">
        <w:rPr>
          <w:rFonts w:asciiTheme="minorHAnsi" w:hAnsiTheme="minorHAnsi" w:cstheme="minorHAnsi"/>
          <w:sz w:val="22"/>
          <w:szCs w:val="22"/>
        </w:rPr>
        <w:t xml:space="preserve"> má</w:t>
      </w:r>
      <w:r w:rsidRPr="004073A5">
        <w:rPr>
          <w:rFonts w:asciiTheme="minorHAnsi" w:hAnsiTheme="minorHAnsi" w:cstheme="minorHAnsi"/>
          <w:sz w:val="22"/>
          <w:szCs w:val="22"/>
        </w:rPr>
        <w:t>s del 80% de las  Empresas de Asesoramiento</w:t>
      </w:r>
      <w:r w:rsidR="000C607A">
        <w:rPr>
          <w:rFonts w:asciiTheme="minorHAnsi" w:hAnsiTheme="minorHAnsi" w:cstheme="minorHAnsi"/>
          <w:sz w:val="22"/>
          <w:szCs w:val="22"/>
        </w:rPr>
        <w:t xml:space="preserve"> Financiero</w:t>
      </w:r>
      <w:r w:rsidRPr="004073A5">
        <w:rPr>
          <w:rFonts w:asciiTheme="minorHAnsi" w:hAnsiTheme="minorHAnsi" w:cstheme="minorHAnsi"/>
          <w:sz w:val="22"/>
          <w:szCs w:val="22"/>
        </w:rPr>
        <w:t xml:space="preserve"> inscritas en la CNMV. </w:t>
      </w:r>
    </w:p>
    <w:p w:rsidR="00BF6024" w:rsidRDefault="00BF6024" w:rsidP="00BF6024">
      <w:pPr>
        <w:spacing w:before="120"/>
        <w:jc w:val="both"/>
        <w:rPr>
          <w:rFonts w:asciiTheme="minorHAnsi" w:hAnsiTheme="minorHAnsi" w:cstheme="minorHAnsi"/>
          <w:sz w:val="22"/>
          <w:szCs w:val="22"/>
        </w:rPr>
      </w:pPr>
      <w:r w:rsidRPr="00BF6024">
        <w:rPr>
          <w:rFonts w:asciiTheme="minorHAnsi" w:hAnsiTheme="minorHAnsi" w:cstheme="minorHAnsi"/>
          <w:sz w:val="22"/>
          <w:szCs w:val="22"/>
        </w:rPr>
        <w:t>Ya anteriormente, el Consejo General d</w:t>
      </w:r>
      <w:r w:rsidR="00EE0F4F">
        <w:rPr>
          <w:rFonts w:asciiTheme="minorHAnsi" w:hAnsiTheme="minorHAnsi" w:cstheme="minorHAnsi"/>
          <w:sz w:val="22"/>
          <w:szCs w:val="22"/>
        </w:rPr>
        <w:t xml:space="preserve">e Economistas </w:t>
      </w:r>
      <w:r w:rsidRPr="00BF6024">
        <w:rPr>
          <w:rFonts w:asciiTheme="minorHAnsi" w:hAnsiTheme="minorHAnsi" w:cstheme="minorHAnsi"/>
          <w:sz w:val="22"/>
          <w:szCs w:val="22"/>
        </w:rPr>
        <w:t xml:space="preserve">ha participado en la consulta </w:t>
      </w:r>
      <w:r w:rsidR="000C607A">
        <w:rPr>
          <w:rFonts w:asciiTheme="minorHAnsi" w:hAnsiTheme="minorHAnsi" w:cstheme="minorHAnsi"/>
          <w:sz w:val="22"/>
          <w:szCs w:val="22"/>
        </w:rPr>
        <w:t>pública abierta por la Secretarí</w:t>
      </w:r>
      <w:r w:rsidRPr="00BF6024">
        <w:rPr>
          <w:rFonts w:asciiTheme="minorHAnsi" w:hAnsiTheme="minorHAnsi" w:cstheme="minorHAnsi"/>
          <w:sz w:val="22"/>
          <w:szCs w:val="22"/>
        </w:rPr>
        <w:t>a General del Tesoro y Política Financiera, referida a la transposición de la Directiva 2014/65/UE del Parlamento Europeo y del Consejo, de 15 de mayo de 2014, relativa a los mercados de instrumentos financieros (en adelante MIFID2).</w:t>
      </w:r>
    </w:p>
    <w:p w:rsidR="00BF6024" w:rsidRDefault="00484AC0" w:rsidP="00BF6024">
      <w:pPr>
        <w:spacing w:before="120"/>
        <w:jc w:val="both"/>
        <w:rPr>
          <w:rFonts w:asciiTheme="minorHAnsi" w:hAnsiTheme="minorHAnsi" w:cstheme="minorHAnsi"/>
          <w:sz w:val="22"/>
          <w:szCs w:val="22"/>
        </w:rPr>
      </w:pPr>
      <w:r>
        <w:rPr>
          <w:rFonts w:asciiTheme="minorHAnsi" w:hAnsiTheme="minorHAnsi" w:cstheme="minorHAnsi"/>
          <w:sz w:val="22"/>
          <w:szCs w:val="22"/>
        </w:rPr>
        <w:t xml:space="preserve">En opinión del Consejo General de Economistas, </w:t>
      </w:r>
      <w:r w:rsidRPr="00484AC0">
        <w:rPr>
          <w:rFonts w:asciiTheme="minorHAnsi" w:hAnsiTheme="minorHAnsi" w:cstheme="minorHAnsi"/>
          <w:sz w:val="22"/>
          <w:szCs w:val="22"/>
        </w:rPr>
        <w:t xml:space="preserve">creemos que </w:t>
      </w:r>
      <w:r>
        <w:rPr>
          <w:rFonts w:asciiTheme="minorHAnsi" w:hAnsiTheme="minorHAnsi" w:cstheme="minorHAnsi"/>
          <w:sz w:val="22"/>
          <w:szCs w:val="22"/>
        </w:rPr>
        <w:t xml:space="preserve">el Anteproyecto </w:t>
      </w:r>
      <w:r w:rsidRPr="00484AC0">
        <w:rPr>
          <w:rFonts w:asciiTheme="minorHAnsi" w:hAnsiTheme="minorHAnsi" w:cstheme="minorHAnsi"/>
          <w:sz w:val="22"/>
          <w:szCs w:val="22"/>
        </w:rPr>
        <w:t xml:space="preserve">se ha limitado, en </w:t>
      </w:r>
      <w:r>
        <w:rPr>
          <w:rFonts w:asciiTheme="minorHAnsi" w:hAnsiTheme="minorHAnsi" w:cstheme="minorHAnsi"/>
          <w:sz w:val="22"/>
          <w:szCs w:val="22"/>
        </w:rPr>
        <w:t>algunos aspectos</w:t>
      </w:r>
      <w:r w:rsidRPr="00484AC0">
        <w:rPr>
          <w:rFonts w:asciiTheme="minorHAnsi" w:hAnsiTheme="minorHAnsi" w:cstheme="minorHAnsi"/>
          <w:sz w:val="22"/>
          <w:szCs w:val="22"/>
        </w:rPr>
        <w:t xml:space="preserve">, a transcribir el articulado de MIFID, sin tener en cuenta las </w:t>
      </w:r>
      <w:r w:rsidR="000C607A">
        <w:rPr>
          <w:rFonts w:asciiTheme="minorHAnsi" w:hAnsiTheme="minorHAnsi" w:cstheme="minorHAnsi"/>
          <w:sz w:val="22"/>
          <w:szCs w:val="22"/>
        </w:rPr>
        <w:t>particularidades</w:t>
      </w:r>
      <w:r w:rsidRPr="00484AC0">
        <w:rPr>
          <w:rFonts w:asciiTheme="minorHAnsi" w:hAnsiTheme="minorHAnsi" w:cstheme="minorHAnsi"/>
          <w:sz w:val="22"/>
          <w:szCs w:val="22"/>
        </w:rPr>
        <w:t xml:space="preserve"> del sector financiero español, fundamentalmente el de asesoramiento en materia de inversión, y en concreto en el prestado por las Empresas de Asesoramiento Financiero. </w:t>
      </w:r>
      <w:r>
        <w:rPr>
          <w:rFonts w:asciiTheme="minorHAnsi" w:hAnsiTheme="minorHAnsi" w:cstheme="minorHAnsi"/>
          <w:sz w:val="22"/>
          <w:szCs w:val="22"/>
        </w:rPr>
        <w:t>Por ello,</w:t>
      </w:r>
      <w:r w:rsidRPr="00484AC0">
        <w:t xml:space="preserve"> </w:t>
      </w:r>
      <w:r>
        <w:rPr>
          <w:rFonts w:asciiTheme="minorHAnsi" w:hAnsiTheme="minorHAnsi" w:cstheme="minorHAnsi"/>
          <w:sz w:val="22"/>
          <w:szCs w:val="22"/>
        </w:rPr>
        <w:t>e</w:t>
      </w:r>
      <w:r w:rsidRPr="00484AC0">
        <w:rPr>
          <w:rFonts w:asciiTheme="minorHAnsi" w:hAnsiTheme="minorHAnsi" w:cstheme="minorHAnsi"/>
          <w:sz w:val="22"/>
          <w:szCs w:val="22"/>
        </w:rPr>
        <w:t>n el presente escrito hemos realizado dos tipos de comentarios</w:t>
      </w:r>
      <w:r>
        <w:rPr>
          <w:rFonts w:asciiTheme="minorHAnsi" w:hAnsiTheme="minorHAnsi" w:cstheme="minorHAnsi"/>
          <w:sz w:val="22"/>
          <w:szCs w:val="22"/>
        </w:rPr>
        <w:t xml:space="preserve"> y reflexiones con el objeto de contribuir a la mejora del texto  </w:t>
      </w:r>
    </w:p>
    <w:p w:rsidR="00BF6024" w:rsidRPr="00EE0F4F" w:rsidRDefault="00BF6024" w:rsidP="00BF6024">
      <w:pPr>
        <w:pStyle w:val="Prrafodelista"/>
        <w:numPr>
          <w:ilvl w:val="0"/>
          <w:numId w:val="17"/>
        </w:numPr>
        <w:spacing w:before="120"/>
        <w:jc w:val="both"/>
        <w:rPr>
          <w:rFonts w:asciiTheme="minorHAnsi" w:hAnsiTheme="minorHAnsi" w:cstheme="minorHAnsi"/>
          <w:i/>
          <w:sz w:val="22"/>
          <w:szCs w:val="22"/>
        </w:rPr>
      </w:pPr>
      <w:r>
        <w:rPr>
          <w:rFonts w:asciiTheme="minorHAnsi" w:hAnsiTheme="minorHAnsi" w:cstheme="minorHAnsi"/>
          <w:sz w:val="22"/>
          <w:szCs w:val="22"/>
        </w:rPr>
        <w:t>Comentarios relativos a la interpretación de la norma, fundamentalmente en lo que afecta a las Empresas de Asesoramiento Financiero</w:t>
      </w:r>
      <w:r w:rsidR="000C607A">
        <w:rPr>
          <w:rFonts w:asciiTheme="minorHAnsi" w:hAnsiTheme="minorHAnsi" w:cstheme="minorHAnsi"/>
          <w:sz w:val="22"/>
          <w:szCs w:val="22"/>
        </w:rPr>
        <w:t>.</w:t>
      </w:r>
    </w:p>
    <w:p w:rsidR="00EE0F4F" w:rsidRPr="00BF6024" w:rsidRDefault="00EE0F4F" w:rsidP="00EE0F4F">
      <w:pPr>
        <w:pStyle w:val="Prrafodelista"/>
        <w:spacing w:before="120"/>
        <w:jc w:val="both"/>
        <w:rPr>
          <w:rFonts w:asciiTheme="minorHAnsi" w:hAnsiTheme="minorHAnsi" w:cstheme="minorHAnsi"/>
          <w:i/>
          <w:sz w:val="22"/>
          <w:szCs w:val="22"/>
        </w:rPr>
      </w:pPr>
    </w:p>
    <w:p w:rsidR="00BF6024" w:rsidRPr="00A42D16" w:rsidRDefault="00B8721E" w:rsidP="00BF6024">
      <w:pPr>
        <w:pStyle w:val="Prrafodelista"/>
        <w:numPr>
          <w:ilvl w:val="0"/>
          <w:numId w:val="17"/>
        </w:numPr>
        <w:spacing w:before="120"/>
        <w:jc w:val="both"/>
        <w:rPr>
          <w:rFonts w:asciiTheme="minorHAnsi" w:hAnsiTheme="minorHAnsi" w:cstheme="minorHAnsi"/>
          <w:i/>
          <w:sz w:val="22"/>
          <w:szCs w:val="22"/>
        </w:rPr>
      </w:pPr>
      <w:r>
        <w:rPr>
          <w:rFonts w:asciiTheme="minorHAnsi" w:hAnsiTheme="minorHAnsi" w:cstheme="minorHAnsi"/>
          <w:sz w:val="22"/>
          <w:szCs w:val="22"/>
        </w:rPr>
        <w:t>Indicació</w:t>
      </w:r>
      <w:r w:rsidR="00A42D16">
        <w:rPr>
          <w:rFonts w:asciiTheme="minorHAnsi" w:hAnsiTheme="minorHAnsi" w:cstheme="minorHAnsi"/>
          <w:sz w:val="22"/>
          <w:szCs w:val="22"/>
        </w:rPr>
        <w:t>n de algunas erratas o errores que hemos detectado en la lectura de los textos y</w:t>
      </w:r>
      <w:r w:rsidR="000C607A">
        <w:rPr>
          <w:rFonts w:asciiTheme="minorHAnsi" w:hAnsiTheme="minorHAnsi" w:cstheme="minorHAnsi"/>
          <w:sz w:val="22"/>
          <w:szCs w:val="22"/>
        </w:rPr>
        <w:t xml:space="preserve"> que les indicamos por si les fueran</w:t>
      </w:r>
      <w:r w:rsidR="00A42D16">
        <w:rPr>
          <w:rFonts w:asciiTheme="minorHAnsi" w:hAnsiTheme="minorHAnsi" w:cstheme="minorHAnsi"/>
          <w:sz w:val="22"/>
          <w:szCs w:val="22"/>
        </w:rPr>
        <w:t xml:space="preserve"> de utilidad.</w:t>
      </w:r>
    </w:p>
    <w:p w:rsidR="0076415F" w:rsidRDefault="008E33CA" w:rsidP="00B8721E">
      <w:pPr>
        <w:jc w:val="both"/>
        <w:rPr>
          <w:rFonts w:ascii="Arial" w:hAnsi="Arial" w:cs="Arial"/>
        </w:rPr>
      </w:pPr>
      <w:r>
        <w:rPr>
          <w:rFonts w:asciiTheme="minorHAnsi" w:hAnsiTheme="minorHAnsi" w:cstheme="minorHAnsi"/>
          <w:i/>
          <w:sz w:val="22"/>
          <w:szCs w:val="22"/>
        </w:rPr>
        <w:br w:type="page"/>
      </w:r>
    </w:p>
    <w:p w:rsidR="008E33CA" w:rsidRDefault="008E33CA" w:rsidP="0076415F">
      <w:pPr>
        <w:rPr>
          <w:rFonts w:asciiTheme="minorHAnsi" w:hAnsiTheme="minorHAnsi" w:cstheme="minorHAnsi"/>
          <w:i/>
          <w:sz w:val="22"/>
          <w:szCs w:val="22"/>
        </w:rPr>
      </w:pPr>
    </w:p>
    <w:p w:rsidR="008D523D" w:rsidRPr="002A13D9" w:rsidRDefault="008D523D" w:rsidP="008A67F2">
      <w:pPr>
        <w:pStyle w:val="Ttulo1"/>
        <w:jc w:val="both"/>
        <w:rPr>
          <w:rFonts w:asciiTheme="minorHAnsi" w:hAnsiTheme="minorHAnsi" w:cstheme="minorHAnsi"/>
          <w:sz w:val="28"/>
          <w:szCs w:val="28"/>
        </w:rPr>
      </w:pPr>
      <w:bookmarkStart w:id="1" w:name="_Toc493227769"/>
      <w:r w:rsidRPr="002A13D9">
        <w:rPr>
          <w:rFonts w:asciiTheme="minorHAnsi" w:hAnsiTheme="minorHAnsi" w:cstheme="minorHAnsi"/>
          <w:sz w:val="28"/>
          <w:szCs w:val="28"/>
        </w:rPr>
        <w:t>II. COMENTARIOS</w:t>
      </w:r>
      <w:r w:rsidR="008E33CA" w:rsidRPr="002A13D9">
        <w:rPr>
          <w:rFonts w:asciiTheme="minorHAnsi" w:hAnsiTheme="minorHAnsi" w:cstheme="minorHAnsi"/>
          <w:sz w:val="28"/>
          <w:szCs w:val="28"/>
        </w:rPr>
        <w:t xml:space="preserve"> SOBRE LA INTERPRETACIÓN DE LA NORMA</w:t>
      </w:r>
      <w:bookmarkEnd w:id="1"/>
    </w:p>
    <w:p w:rsidR="008B081A" w:rsidRPr="008D523D" w:rsidRDefault="00350CDE" w:rsidP="00350CDE">
      <w:pPr>
        <w:pStyle w:val="Ttulo2"/>
        <w:rPr>
          <w:rFonts w:asciiTheme="minorHAnsi" w:hAnsiTheme="minorHAnsi" w:cstheme="minorHAnsi"/>
          <w:sz w:val="24"/>
          <w:szCs w:val="24"/>
        </w:rPr>
      </w:pPr>
      <w:bookmarkStart w:id="2" w:name="_Toc493227770"/>
      <w:r w:rsidRPr="008D523D">
        <w:rPr>
          <w:rFonts w:asciiTheme="minorHAnsi" w:hAnsiTheme="minorHAnsi" w:cstheme="minorHAnsi"/>
          <w:sz w:val="24"/>
          <w:szCs w:val="24"/>
        </w:rPr>
        <w:t>1</w:t>
      </w:r>
      <w:r w:rsidR="008D523D">
        <w:rPr>
          <w:rFonts w:asciiTheme="minorHAnsi" w:hAnsiTheme="minorHAnsi" w:cstheme="minorHAnsi"/>
          <w:sz w:val="24"/>
          <w:szCs w:val="24"/>
        </w:rPr>
        <w:t>.</w:t>
      </w:r>
      <w:r w:rsidR="00353D79" w:rsidRPr="008D523D">
        <w:rPr>
          <w:rFonts w:asciiTheme="minorHAnsi" w:hAnsiTheme="minorHAnsi" w:cstheme="minorHAnsi"/>
          <w:sz w:val="24"/>
          <w:szCs w:val="24"/>
        </w:rPr>
        <w:tab/>
      </w:r>
      <w:r w:rsidR="008B081A" w:rsidRPr="008D523D">
        <w:rPr>
          <w:rFonts w:asciiTheme="minorHAnsi" w:hAnsiTheme="minorHAnsi" w:cstheme="minorHAnsi"/>
          <w:sz w:val="24"/>
          <w:szCs w:val="24"/>
        </w:rPr>
        <w:t>Cuestiones generales del Anteproyecto y del RD</w:t>
      </w:r>
      <w:bookmarkEnd w:id="2"/>
    </w:p>
    <w:p w:rsidR="00FB4473" w:rsidRDefault="00895714" w:rsidP="00895714">
      <w:pPr>
        <w:spacing w:before="120"/>
        <w:jc w:val="both"/>
        <w:rPr>
          <w:rFonts w:asciiTheme="minorHAnsi" w:hAnsiTheme="minorHAnsi" w:cstheme="minorHAnsi"/>
          <w:sz w:val="22"/>
          <w:szCs w:val="22"/>
        </w:rPr>
      </w:pPr>
      <w:r>
        <w:rPr>
          <w:rFonts w:asciiTheme="minorHAnsi" w:hAnsiTheme="minorHAnsi" w:cstheme="minorHAnsi"/>
          <w:sz w:val="22"/>
          <w:szCs w:val="22"/>
        </w:rPr>
        <w:t xml:space="preserve">Tanto el Anteproyecto como el Reglamento </w:t>
      </w:r>
      <w:r w:rsidR="00E5048B">
        <w:rPr>
          <w:rFonts w:asciiTheme="minorHAnsi" w:hAnsiTheme="minorHAnsi" w:cstheme="minorHAnsi"/>
          <w:sz w:val="22"/>
          <w:szCs w:val="22"/>
        </w:rPr>
        <w:t>hacen contin</w:t>
      </w:r>
      <w:r w:rsidR="008B081A" w:rsidRPr="008D523D">
        <w:rPr>
          <w:rFonts w:asciiTheme="minorHAnsi" w:hAnsiTheme="minorHAnsi" w:cstheme="minorHAnsi"/>
          <w:sz w:val="22"/>
          <w:szCs w:val="22"/>
        </w:rPr>
        <w:t>ua referencia</w:t>
      </w:r>
      <w:r w:rsidR="00F87099" w:rsidRPr="008D523D">
        <w:rPr>
          <w:rFonts w:asciiTheme="minorHAnsi" w:hAnsiTheme="minorHAnsi" w:cstheme="minorHAnsi"/>
          <w:sz w:val="22"/>
          <w:szCs w:val="22"/>
        </w:rPr>
        <w:t xml:space="preserve">, entre otros, </w:t>
      </w:r>
      <w:r w:rsidR="009364BC" w:rsidRPr="008D523D">
        <w:rPr>
          <w:rFonts w:asciiTheme="minorHAnsi" w:hAnsiTheme="minorHAnsi" w:cstheme="minorHAnsi"/>
          <w:sz w:val="22"/>
          <w:szCs w:val="22"/>
        </w:rPr>
        <w:t>a</w:t>
      </w:r>
      <w:r w:rsidR="00E96B5F" w:rsidRPr="008D523D">
        <w:rPr>
          <w:rFonts w:asciiTheme="minorHAnsi" w:hAnsiTheme="minorHAnsi" w:cstheme="minorHAnsi"/>
          <w:sz w:val="22"/>
          <w:szCs w:val="22"/>
        </w:rPr>
        <w:t xml:space="preserve"> </w:t>
      </w:r>
      <w:r>
        <w:rPr>
          <w:rFonts w:asciiTheme="minorHAnsi" w:hAnsiTheme="minorHAnsi" w:cstheme="minorHAnsi"/>
          <w:sz w:val="22"/>
          <w:szCs w:val="22"/>
        </w:rPr>
        <w:t xml:space="preserve">Reglamentos Delegados, fundamentalmente </w:t>
      </w:r>
      <w:r w:rsidRPr="00CE057C">
        <w:rPr>
          <w:rFonts w:asciiTheme="minorHAnsi" w:hAnsiTheme="minorHAnsi" w:cstheme="minorHAnsi"/>
          <w:i/>
          <w:sz w:val="22"/>
          <w:szCs w:val="22"/>
        </w:rPr>
        <w:t xml:space="preserve">el </w:t>
      </w:r>
      <w:r w:rsidR="00FB4473" w:rsidRPr="00CE057C">
        <w:rPr>
          <w:rFonts w:asciiTheme="minorHAnsi" w:hAnsiTheme="minorHAnsi" w:cstheme="minorHAnsi"/>
          <w:i/>
          <w:sz w:val="22"/>
          <w:szCs w:val="22"/>
        </w:rPr>
        <w:t>Reglamento delegado 2017/565/UE de la Comisión de 25.4.2016 por el que se completa la Directiva 2014/65/UE del Parlamento Europeo y del Consejo en lo relativo a los requisitos organizativos y las condiciones de funcionamiento de las empresas de servicios de inversión, y términos definidos a efectos de dicha Directiva</w:t>
      </w:r>
      <w:r>
        <w:rPr>
          <w:rFonts w:asciiTheme="minorHAnsi" w:hAnsiTheme="minorHAnsi" w:cstheme="minorHAnsi"/>
          <w:sz w:val="22"/>
          <w:szCs w:val="22"/>
        </w:rPr>
        <w:t xml:space="preserve"> y el</w:t>
      </w:r>
      <w:r w:rsidR="00E37317">
        <w:rPr>
          <w:rFonts w:asciiTheme="minorHAnsi" w:hAnsiTheme="minorHAnsi" w:cstheme="minorHAnsi"/>
          <w:sz w:val="22"/>
          <w:szCs w:val="22"/>
        </w:rPr>
        <w:t xml:space="preserve"> </w:t>
      </w:r>
      <w:r w:rsidR="00E37317" w:rsidRPr="00CE057C">
        <w:rPr>
          <w:rFonts w:asciiTheme="minorHAnsi" w:hAnsiTheme="minorHAnsi" w:cstheme="minorHAnsi"/>
          <w:i/>
          <w:sz w:val="22"/>
          <w:szCs w:val="22"/>
        </w:rPr>
        <w:t xml:space="preserve">Reglamento delegado (EU) </w:t>
      </w:r>
      <w:proofErr w:type="gramStart"/>
      <w:r w:rsidR="00E37317" w:rsidRPr="00CE057C">
        <w:rPr>
          <w:rFonts w:asciiTheme="minorHAnsi" w:hAnsiTheme="minorHAnsi" w:cstheme="minorHAnsi"/>
          <w:i/>
          <w:sz w:val="22"/>
          <w:szCs w:val="22"/>
        </w:rPr>
        <w:t>No …</w:t>
      </w:r>
      <w:proofErr w:type="gramEnd"/>
      <w:r w:rsidR="00E37317" w:rsidRPr="00CE057C">
        <w:rPr>
          <w:rFonts w:asciiTheme="minorHAnsi" w:hAnsiTheme="minorHAnsi" w:cstheme="minorHAnsi"/>
          <w:i/>
          <w:sz w:val="22"/>
          <w:szCs w:val="22"/>
        </w:rPr>
        <w:t>/.. de 11.7.2017 de la Comisión de 14.7.2016 por el que se completa la Directiva 2014/65/UE del Parlamento Europeo y del Consejo en lo que respecta a las normas técnicas de regulación sobre la información y los requisitos necesarios para la concesión de autorizaciones a empresas de servicios de inversión</w:t>
      </w:r>
      <w:r w:rsidR="002E774B">
        <w:rPr>
          <w:rFonts w:asciiTheme="minorHAnsi" w:hAnsiTheme="minorHAnsi" w:cstheme="minorHAnsi"/>
          <w:sz w:val="22"/>
          <w:szCs w:val="22"/>
        </w:rPr>
        <w:t>, que, a dí</w:t>
      </w:r>
      <w:r w:rsidR="00E37317">
        <w:rPr>
          <w:rFonts w:asciiTheme="minorHAnsi" w:hAnsiTheme="minorHAnsi" w:cstheme="minorHAnsi"/>
          <w:sz w:val="22"/>
          <w:szCs w:val="22"/>
        </w:rPr>
        <w:t>a de hoy, está p</w:t>
      </w:r>
      <w:r w:rsidR="00E37317" w:rsidRPr="00E37317">
        <w:rPr>
          <w:rFonts w:asciiTheme="minorHAnsi" w:hAnsiTheme="minorHAnsi" w:cstheme="minorHAnsi"/>
          <w:sz w:val="22"/>
          <w:szCs w:val="22"/>
        </w:rPr>
        <w:t>endiente de publicar</w:t>
      </w:r>
    </w:p>
    <w:p w:rsidR="00E96B5F" w:rsidRPr="008E33CA" w:rsidRDefault="00484AC0" w:rsidP="008E33CA">
      <w:pPr>
        <w:spacing w:before="120"/>
        <w:jc w:val="both"/>
        <w:rPr>
          <w:rFonts w:asciiTheme="minorHAnsi" w:hAnsiTheme="minorHAnsi" w:cstheme="minorHAnsi"/>
          <w:sz w:val="22"/>
          <w:szCs w:val="22"/>
        </w:rPr>
      </w:pPr>
      <w:r>
        <w:rPr>
          <w:rFonts w:asciiTheme="minorHAnsi" w:hAnsiTheme="minorHAnsi" w:cstheme="minorHAnsi"/>
          <w:sz w:val="22"/>
          <w:szCs w:val="22"/>
        </w:rPr>
        <w:t>Aunque las normas incluidas en un Reglamento Delegado no necesitan de transposición, c</w:t>
      </w:r>
      <w:r w:rsidR="00E37317" w:rsidRPr="00E37317">
        <w:rPr>
          <w:rFonts w:asciiTheme="minorHAnsi" w:hAnsiTheme="minorHAnsi" w:cstheme="minorHAnsi"/>
          <w:sz w:val="22"/>
          <w:szCs w:val="22"/>
        </w:rPr>
        <w:t>onsideramos que, con objeto de facilitar la comprensión de la norma para su cumplimiento, y en aras de que sea m</w:t>
      </w:r>
      <w:r w:rsidR="002E774B">
        <w:rPr>
          <w:rFonts w:asciiTheme="minorHAnsi" w:hAnsiTheme="minorHAnsi" w:cstheme="minorHAnsi"/>
          <w:sz w:val="22"/>
          <w:szCs w:val="22"/>
        </w:rPr>
        <w:t>á</w:t>
      </w:r>
      <w:r w:rsidR="00E37317" w:rsidRPr="00E37317">
        <w:rPr>
          <w:rFonts w:asciiTheme="minorHAnsi" w:hAnsiTheme="minorHAnsi" w:cstheme="minorHAnsi"/>
          <w:sz w:val="22"/>
          <w:szCs w:val="22"/>
        </w:rPr>
        <w:t>s clara y transparente, sería conveniente</w:t>
      </w:r>
      <w:r>
        <w:rPr>
          <w:rFonts w:asciiTheme="minorHAnsi" w:hAnsiTheme="minorHAnsi" w:cstheme="minorHAnsi"/>
          <w:sz w:val="22"/>
          <w:szCs w:val="22"/>
        </w:rPr>
        <w:t>, que en todas las referencias se hiciera mención del artículo al que refiere. Así mismo, sería de gran utilidad</w:t>
      </w:r>
      <w:r w:rsidR="007E0C34">
        <w:rPr>
          <w:rFonts w:asciiTheme="minorHAnsi" w:hAnsiTheme="minorHAnsi" w:cstheme="minorHAnsi"/>
          <w:sz w:val="22"/>
          <w:szCs w:val="22"/>
        </w:rPr>
        <w:t xml:space="preserve"> una vez aprobada la Ley,</w:t>
      </w:r>
      <w:r w:rsidR="00E37317" w:rsidRPr="00E37317">
        <w:rPr>
          <w:rFonts w:asciiTheme="minorHAnsi" w:hAnsiTheme="minorHAnsi" w:cstheme="minorHAnsi"/>
          <w:sz w:val="22"/>
          <w:szCs w:val="22"/>
        </w:rPr>
        <w:t xml:space="preserve"> que se incluyera </w:t>
      </w:r>
      <w:r w:rsidR="00133839">
        <w:rPr>
          <w:rFonts w:asciiTheme="minorHAnsi" w:hAnsiTheme="minorHAnsi" w:cstheme="minorHAnsi"/>
          <w:sz w:val="22"/>
          <w:szCs w:val="22"/>
        </w:rPr>
        <w:t xml:space="preserve">un </w:t>
      </w:r>
      <w:r w:rsidR="00133839" w:rsidRPr="00133839">
        <w:rPr>
          <w:rFonts w:asciiTheme="minorHAnsi" w:hAnsiTheme="minorHAnsi" w:cstheme="minorHAnsi"/>
          <w:sz w:val="22"/>
          <w:szCs w:val="22"/>
        </w:rPr>
        <w:t>anexo explicativo que</w:t>
      </w:r>
      <w:r w:rsidR="00133839">
        <w:rPr>
          <w:rFonts w:asciiTheme="minorHAnsi" w:hAnsiTheme="minorHAnsi" w:cstheme="minorHAnsi"/>
          <w:sz w:val="22"/>
          <w:szCs w:val="22"/>
        </w:rPr>
        <w:t>,</w:t>
      </w:r>
      <w:r w:rsidR="00133839" w:rsidRPr="00133839">
        <w:rPr>
          <w:rFonts w:asciiTheme="minorHAnsi" w:hAnsiTheme="minorHAnsi" w:cstheme="minorHAnsi"/>
          <w:sz w:val="22"/>
          <w:szCs w:val="22"/>
        </w:rPr>
        <w:t xml:space="preserve"> para cada materia</w:t>
      </w:r>
      <w:r w:rsidR="00133839">
        <w:rPr>
          <w:rFonts w:asciiTheme="minorHAnsi" w:hAnsiTheme="minorHAnsi" w:cstheme="minorHAnsi"/>
          <w:sz w:val="22"/>
          <w:szCs w:val="22"/>
        </w:rPr>
        <w:t>,</w:t>
      </w:r>
      <w:r w:rsidR="00133839" w:rsidRPr="00133839">
        <w:rPr>
          <w:rFonts w:asciiTheme="minorHAnsi" w:hAnsiTheme="minorHAnsi" w:cstheme="minorHAnsi"/>
          <w:sz w:val="22"/>
          <w:szCs w:val="22"/>
        </w:rPr>
        <w:t xml:space="preserve"> recogiera toda la normativa española y comunitaria de aplicación</w:t>
      </w:r>
      <w:r w:rsidR="00E37317">
        <w:rPr>
          <w:rFonts w:asciiTheme="minorHAnsi" w:hAnsiTheme="minorHAnsi" w:cstheme="minorHAnsi"/>
          <w:sz w:val="22"/>
          <w:szCs w:val="22"/>
        </w:rPr>
        <w:t>.</w:t>
      </w:r>
    </w:p>
    <w:p w:rsidR="00EF656A" w:rsidRPr="008D523D" w:rsidRDefault="00350CDE" w:rsidP="00350CDE">
      <w:pPr>
        <w:pStyle w:val="Ttulo2"/>
        <w:rPr>
          <w:rFonts w:asciiTheme="minorHAnsi" w:hAnsiTheme="minorHAnsi" w:cstheme="minorHAnsi"/>
          <w:sz w:val="24"/>
          <w:szCs w:val="24"/>
        </w:rPr>
      </w:pPr>
      <w:bookmarkStart w:id="3" w:name="_Toc493227771"/>
      <w:r w:rsidRPr="008D523D">
        <w:rPr>
          <w:rFonts w:asciiTheme="minorHAnsi" w:hAnsiTheme="minorHAnsi" w:cstheme="minorHAnsi"/>
          <w:sz w:val="24"/>
          <w:szCs w:val="24"/>
        </w:rPr>
        <w:t>2</w:t>
      </w:r>
      <w:r w:rsidR="008D523D" w:rsidRPr="008D523D">
        <w:rPr>
          <w:rFonts w:asciiTheme="minorHAnsi" w:hAnsiTheme="minorHAnsi" w:cstheme="minorHAnsi"/>
          <w:sz w:val="24"/>
          <w:szCs w:val="24"/>
        </w:rPr>
        <w:t>.</w:t>
      </w:r>
      <w:r w:rsidR="00353D79" w:rsidRPr="008D523D">
        <w:rPr>
          <w:rFonts w:asciiTheme="minorHAnsi" w:hAnsiTheme="minorHAnsi" w:cstheme="minorHAnsi"/>
          <w:sz w:val="24"/>
          <w:szCs w:val="24"/>
        </w:rPr>
        <w:tab/>
      </w:r>
      <w:r w:rsidR="00EF656A" w:rsidRPr="008D523D">
        <w:rPr>
          <w:rFonts w:asciiTheme="minorHAnsi" w:hAnsiTheme="minorHAnsi" w:cstheme="minorHAnsi"/>
          <w:sz w:val="24"/>
          <w:szCs w:val="24"/>
        </w:rPr>
        <w:t>Comentarios sobre el ámbito de aplicación de la Norma</w:t>
      </w:r>
      <w:bookmarkEnd w:id="3"/>
    </w:p>
    <w:p w:rsidR="00455E49" w:rsidRPr="00350CDE" w:rsidRDefault="00EF656A"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 xml:space="preserve">Los artículos 5 a 7 </w:t>
      </w:r>
      <w:r w:rsidR="009364BC" w:rsidRPr="00350CDE">
        <w:rPr>
          <w:rFonts w:asciiTheme="minorHAnsi" w:hAnsiTheme="minorHAnsi" w:cstheme="minorHAnsi"/>
          <w:sz w:val="22"/>
          <w:szCs w:val="22"/>
        </w:rPr>
        <w:t xml:space="preserve">del Anteproyecto </w:t>
      </w:r>
      <w:r w:rsidRPr="00350CDE">
        <w:rPr>
          <w:rFonts w:asciiTheme="minorHAnsi" w:hAnsiTheme="minorHAnsi" w:cstheme="minorHAnsi"/>
          <w:sz w:val="22"/>
          <w:szCs w:val="22"/>
        </w:rPr>
        <w:t xml:space="preserve">coinciden </w:t>
      </w:r>
      <w:r w:rsidR="00526DE6">
        <w:rPr>
          <w:rFonts w:asciiTheme="minorHAnsi" w:hAnsiTheme="minorHAnsi" w:cstheme="minorHAnsi"/>
          <w:sz w:val="22"/>
          <w:szCs w:val="22"/>
        </w:rPr>
        <w:t>sustancialmente</w:t>
      </w:r>
      <w:r w:rsidR="00D90F97" w:rsidRPr="00350CDE">
        <w:rPr>
          <w:rFonts w:asciiTheme="minorHAnsi" w:hAnsiTheme="minorHAnsi" w:cstheme="minorHAnsi"/>
          <w:sz w:val="22"/>
          <w:szCs w:val="22"/>
        </w:rPr>
        <w:t xml:space="preserve"> </w:t>
      </w:r>
      <w:r w:rsidRPr="00350CDE">
        <w:rPr>
          <w:rFonts w:asciiTheme="minorHAnsi" w:hAnsiTheme="minorHAnsi" w:cstheme="minorHAnsi"/>
          <w:sz w:val="22"/>
          <w:szCs w:val="22"/>
        </w:rPr>
        <w:t xml:space="preserve">con lo previsto en los artículos 1 a 3 de la Directiva UE/65/2014 (en adelante MIFIDII) tanto en los sujetos obligados como en las excepciones facultativas. </w:t>
      </w:r>
      <w:r w:rsidR="00455E49" w:rsidRPr="00350CDE">
        <w:rPr>
          <w:rFonts w:asciiTheme="minorHAnsi" w:hAnsiTheme="minorHAnsi" w:cstheme="minorHAnsi"/>
          <w:sz w:val="22"/>
          <w:szCs w:val="22"/>
        </w:rPr>
        <w:t xml:space="preserve">Entendemos que el ámbito de aplicación de MIFIDII y el de la Ley del Mercado de Valores no </w:t>
      </w:r>
      <w:r w:rsidR="00526DE6" w:rsidRPr="00526DE6">
        <w:rPr>
          <w:rFonts w:asciiTheme="minorHAnsi" w:hAnsiTheme="minorHAnsi" w:cstheme="minorHAnsi"/>
          <w:sz w:val="22"/>
          <w:szCs w:val="22"/>
        </w:rPr>
        <w:t>pueden ser el mismo,</w:t>
      </w:r>
      <w:r w:rsidR="00526DE6">
        <w:rPr>
          <w:rFonts w:asciiTheme="minorHAnsi" w:hAnsiTheme="minorHAnsi" w:cstheme="minorHAnsi"/>
          <w:sz w:val="22"/>
          <w:szCs w:val="22"/>
        </w:rPr>
        <w:t xml:space="preserve"> </w:t>
      </w:r>
      <w:r w:rsidR="00526DE6" w:rsidRPr="00526DE6">
        <w:rPr>
          <w:rFonts w:asciiTheme="minorHAnsi" w:hAnsiTheme="minorHAnsi" w:cstheme="minorHAnsi"/>
          <w:sz w:val="22"/>
          <w:szCs w:val="22"/>
        </w:rPr>
        <w:t>pues la LMV abarca mucha</w:t>
      </w:r>
      <w:r w:rsidR="002E774B">
        <w:rPr>
          <w:rFonts w:asciiTheme="minorHAnsi" w:hAnsiTheme="minorHAnsi" w:cstheme="minorHAnsi"/>
          <w:sz w:val="22"/>
          <w:szCs w:val="22"/>
        </w:rPr>
        <w:t>s</w:t>
      </w:r>
      <w:r w:rsidR="00526DE6" w:rsidRPr="00526DE6">
        <w:rPr>
          <w:rFonts w:asciiTheme="minorHAnsi" w:hAnsiTheme="minorHAnsi" w:cstheme="minorHAnsi"/>
          <w:sz w:val="22"/>
          <w:szCs w:val="22"/>
        </w:rPr>
        <w:t xml:space="preserve"> más materias</w:t>
      </w:r>
      <w:r w:rsidR="00526DE6">
        <w:rPr>
          <w:rFonts w:asciiTheme="minorHAnsi" w:hAnsiTheme="minorHAnsi" w:cstheme="minorHAnsi"/>
          <w:sz w:val="22"/>
          <w:szCs w:val="22"/>
        </w:rPr>
        <w:t>.</w:t>
      </w:r>
      <w:r w:rsidR="00526DE6" w:rsidRPr="00526DE6" w:rsidDel="00526DE6">
        <w:rPr>
          <w:rFonts w:asciiTheme="minorHAnsi" w:hAnsiTheme="minorHAnsi" w:cstheme="minorHAnsi"/>
          <w:sz w:val="22"/>
          <w:szCs w:val="22"/>
        </w:rPr>
        <w:t xml:space="preserve"> </w:t>
      </w:r>
      <w:r w:rsidR="00455E49" w:rsidRPr="00350CDE">
        <w:rPr>
          <w:rFonts w:asciiTheme="minorHAnsi" w:hAnsiTheme="minorHAnsi" w:cstheme="minorHAnsi"/>
          <w:sz w:val="22"/>
          <w:szCs w:val="22"/>
        </w:rPr>
        <w:t xml:space="preserve">Así mismo, la transposición </w:t>
      </w:r>
      <w:r w:rsidR="00526DE6" w:rsidRPr="00526DE6">
        <w:rPr>
          <w:rFonts w:asciiTheme="minorHAnsi" w:hAnsiTheme="minorHAnsi" w:cstheme="minorHAnsi"/>
          <w:sz w:val="22"/>
          <w:szCs w:val="22"/>
        </w:rPr>
        <w:t xml:space="preserve">de las normas relativas </w:t>
      </w:r>
      <w:r w:rsidR="00455E49" w:rsidRPr="00350CDE">
        <w:rPr>
          <w:rFonts w:asciiTheme="minorHAnsi" w:hAnsiTheme="minorHAnsi" w:cstheme="minorHAnsi"/>
          <w:sz w:val="22"/>
          <w:szCs w:val="22"/>
        </w:rPr>
        <w:t>tanto de las entidades no sujetas a MIFIDII como de las excepciones facultativas, podría tener en cuenta las circunstancias particulares del mercado español, fundamentalmente en los dos temas siguientes</w:t>
      </w:r>
    </w:p>
    <w:p w:rsidR="00340797" w:rsidRDefault="00350CDE" w:rsidP="00350CDE">
      <w:pPr>
        <w:pStyle w:val="Ttulo3"/>
        <w:rPr>
          <w:rFonts w:asciiTheme="minorHAnsi" w:hAnsiTheme="minorHAnsi" w:cstheme="minorHAnsi"/>
          <w:sz w:val="24"/>
          <w:szCs w:val="24"/>
        </w:rPr>
      </w:pPr>
      <w:bookmarkStart w:id="4" w:name="_Toc493227772"/>
      <w:r w:rsidRPr="00350CDE">
        <w:rPr>
          <w:rFonts w:asciiTheme="minorHAnsi" w:hAnsiTheme="minorHAnsi" w:cstheme="minorHAnsi"/>
          <w:sz w:val="24"/>
          <w:szCs w:val="24"/>
        </w:rPr>
        <w:t xml:space="preserve">2.1. </w:t>
      </w:r>
      <w:r w:rsidR="008D523D">
        <w:rPr>
          <w:rFonts w:asciiTheme="minorHAnsi" w:hAnsiTheme="minorHAnsi" w:cstheme="minorHAnsi"/>
          <w:sz w:val="24"/>
          <w:szCs w:val="24"/>
        </w:rPr>
        <w:t>E</w:t>
      </w:r>
      <w:r w:rsidR="00EF656A" w:rsidRPr="00E50D2B">
        <w:rPr>
          <w:rFonts w:asciiTheme="minorHAnsi" w:hAnsiTheme="minorHAnsi" w:cstheme="minorHAnsi"/>
          <w:sz w:val="24"/>
          <w:szCs w:val="24"/>
        </w:rPr>
        <w:t>ntidades no sujetas a la Ley</w:t>
      </w:r>
      <w:r w:rsidR="00EF656A" w:rsidRPr="00350CDE">
        <w:rPr>
          <w:rFonts w:asciiTheme="minorHAnsi" w:hAnsiTheme="minorHAnsi" w:cstheme="minorHAnsi"/>
          <w:sz w:val="24"/>
          <w:szCs w:val="24"/>
        </w:rPr>
        <w:t>,</w:t>
      </w:r>
      <w:bookmarkEnd w:id="4"/>
      <w:r w:rsidR="00EF656A" w:rsidRPr="00350CDE">
        <w:rPr>
          <w:rFonts w:asciiTheme="minorHAnsi" w:hAnsiTheme="minorHAnsi" w:cstheme="minorHAnsi"/>
          <w:sz w:val="24"/>
          <w:szCs w:val="24"/>
        </w:rPr>
        <w:t xml:space="preserve"> </w:t>
      </w:r>
    </w:p>
    <w:p w:rsidR="00EF656A" w:rsidRPr="00340797" w:rsidRDefault="00340797" w:rsidP="00340797">
      <w:pPr>
        <w:spacing w:before="120"/>
        <w:jc w:val="both"/>
        <w:rPr>
          <w:rFonts w:asciiTheme="minorHAnsi" w:hAnsiTheme="minorHAnsi" w:cstheme="minorHAnsi"/>
          <w:sz w:val="22"/>
          <w:szCs w:val="22"/>
        </w:rPr>
      </w:pPr>
      <w:r w:rsidRPr="00340797">
        <w:rPr>
          <w:rFonts w:asciiTheme="minorHAnsi" w:hAnsiTheme="minorHAnsi" w:cstheme="minorHAnsi"/>
          <w:sz w:val="22"/>
          <w:szCs w:val="22"/>
        </w:rPr>
        <w:t xml:space="preserve">En el art. 5 </w:t>
      </w:r>
      <w:r w:rsidR="008E33CA">
        <w:rPr>
          <w:rFonts w:asciiTheme="minorHAnsi" w:hAnsiTheme="minorHAnsi" w:cstheme="minorHAnsi"/>
          <w:sz w:val="22"/>
          <w:szCs w:val="22"/>
        </w:rPr>
        <w:t>del Anteproyecto se establece</w:t>
      </w:r>
      <w:r w:rsidR="00EF656A" w:rsidRPr="00340797">
        <w:rPr>
          <w:rFonts w:asciiTheme="minorHAnsi" w:hAnsiTheme="minorHAnsi" w:cstheme="minorHAnsi"/>
          <w:sz w:val="22"/>
          <w:szCs w:val="22"/>
        </w:rPr>
        <w:t>:</w:t>
      </w:r>
    </w:p>
    <w:p w:rsidR="00EF656A" w:rsidRPr="0053097D" w:rsidRDefault="00E50D2B" w:rsidP="00261534">
      <w:pPr>
        <w:spacing w:before="120"/>
        <w:ind w:left="708"/>
        <w:jc w:val="both"/>
        <w:rPr>
          <w:rFonts w:asciiTheme="minorHAnsi" w:hAnsiTheme="minorHAnsi" w:cstheme="minorHAnsi"/>
          <w:i/>
          <w:sz w:val="22"/>
          <w:szCs w:val="22"/>
        </w:rPr>
      </w:pPr>
      <w:r>
        <w:rPr>
          <w:rFonts w:asciiTheme="minorHAnsi" w:hAnsiTheme="minorHAnsi" w:cstheme="minorHAnsi"/>
          <w:i/>
          <w:sz w:val="22"/>
          <w:szCs w:val="22"/>
        </w:rPr>
        <w:t>“</w:t>
      </w:r>
      <w:r w:rsidR="00EF656A" w:rsidRPr="00350CDE">
        <w:rPr>
          <w:rFonts w:asciiTheme="minorHAnsi" w:hAnsiTheme="minorHAnsi" w:cstheme="minorHAnsi"/>
          <w:i/>
          <w:sz w:val="22"/>
          <w:szCs w:val="22"/>
        </w:rPr>
        <w:t xml:space="preserve">c) </w:t>
      </w:r>
      <w:r w:rsidR="00EF656A" w:rsidRPr="0053097D">
        <w:rPr>
          <w:rFonts w:asciiTheme="minorHAnsi" w:hAnsiTheme="minorHAnsi" w:cstheme="minorHAnsi"/>
          <w:i/>
          <w:sz w:val="22"/>
          <w:szCs w:val="22"/>
        </w:rPr>
        <w:t xml:space="preserve">las personas que presten un servicio de inversión, cuando dicho servicio </w:t>
      </w:r>
      <w:r w:rsidR="00EF656A" w:rsidRPr="00E50D2B">
        <w:rPr>
          <w:rFonts w:asciiTheme="minorHAnsi" w:hAnsiTheme="minorHAnsi" w:cstheme="minorHAnsi"/>
          <w:i/>
          <w:sz w:val="22"/>
          <w:szCs w:val="22"/>
          <w:u w:val="single"/>
        </w:rPr>
        <w:t xml:space="preserve">se preste de manera accesoria </w:t>
      </w:r>
      <w:r w:rsidR="00EF656A" w:rsidRPr="0053097D">
        <w:rPr>
          <w:rFonts w:asciiTheme="minorHAnsi" w:hAnsiTheme="minorHAnsi" w:cstheme="minorHAnsi"/>
          <w:i/>
          <w:sz w:val="22"/>
          <w:szCs w:val="22"/>
        </w:rPr>
        <w:t>en el marco de una actividad profesional, y siempre que esta última esté regulada por disposiciones legales o reglamentarias o por un código deontológico profesional que no excluyan la prestación de dicho servicio, en los términos previstos en el Reglamento delegado (UE) 2017/565/UE de la Comisión de 25 de abril de 2016 por el que se completa la Directiva 2014/65/UE del Parlamento Europeo y del Consejo en lo relativo a los requisitos organizativos y las condiciones de funcionamiento de las empresas de servicios de inversión, y términos definidos a efectos de dicha Directiva</w:t>
      </w:r>
    </w:p>
    <w:p w:rsidR="00EF656A" w:rsidRPr="00350CDE" w:rsidRDefault="00EF656A" w:rsidP="00261534">
      <w:pPr>
        <w:spacing w:before="120"/>
        <w:ind w:left="708"/>
        <w:jc w:val="both"/>
        <w:rPr>
          <w:rFonts w:asciiTheme="minorHAnsi" w:hAnsiTheme="minorHAnsi" w:cstheme="minorHAnsi"/>
          <w:i/>
          <w:sz w:val="22"/>
          <w:szCs w:val="22"/>
        </w:rPr>
      </w:pPr>
      <w:r w:rsidRPr="00350CDE">
        <w:rPr>
          <w:rFonts w:asciiTheme="minorHAnsi" w:hAnsiTheme="minorHAnsi" w:cstheme="minorHAnsi"/>
          <w:i/>
          <w:sz w:val="22"/>
          <w:szCs w:val="22"/>
        </w:rPr>
        <w:t xml:space="preserve">k) las personas que prestan asesoramiento en materia de inversión en el ejercicio de otra actividad profesional no regulada por la presente Ley, siempre que </w:t>
      </w:r>
      <w:r w:rsidRPr="00E50D2B">
        <w:rPr>
          <w:rFonts w:asciiTheme="minorHAnsi" w:hAnsiTheme="minorHAnsi" w:cstheme="minorHAnsi"/>
          <w:i/>
          <w:sz w:val="22"/>
          <w:szCs w:val="22"/>
          <w:u w:val="single"/>
        </w:rPr>
        <w:t>la prestación de dicho asesoramiento no esté específicamente remunerada</w:t>
      </w:r>
      <w:r w:rsidR="00455E49" w:rsidRPr="00350CDE">
        <w:rPr>
          <w:rFonts w:asciiTheme="minorHAnsi" w:hAnsiTheme="minorHAnsi" w:cstheme="minorHAnsi"/>
          <w:i/>
          <w:sz w:val="22"/>
          <w:szCs w:val="22"/>
        </w:rPr>
        <w:t>”</w:t>
      </w:r>
    </w:p>
    <w:p w:rsidR="00EF656A" w:rsidRPr="00350CDE" w:rsidRDefault="00EF656A"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En este sentido el R</w:t>
      </w:r>
      <w:r w:rsidR="00455E49" w:rsidRPr="00350CDE">
        <w:rPr>
          <w:rFonts w:asciiTheme="minorHAnsi" w:hAnsiTheme="minorHAnsi" w:cstheme="minorHAnsi"/>
          <w:sz w:val="22"/>
          <w:szCs w:val="22"/>
        </w:rPr>
        <w:t>eglamento Delegado</w:t>
      </w:r>
      <w:r w:rsidRPr="00350CDE">
        <w:rPr>
          <w:rFonts w:asciiTheme="minorHAnsi" w:hAnsiTheme="minorHAnsi" w:cstheme="minorHAnsi"/>
          <w:sz w:val="22"/>
          <w:szCs w:val="22"/>
        </w:rPr>
        <w:t xml:space="preserve"> </w:t>
      </w:r>
      <w:r w:rsidR="00455E49" w:rsidRPr="00350CDE">
        <w:rPr>
          <w:rFonts w:asciiTheme="minorHAnsi" w:hAnsiTheme="minorHAnsi" w:cstheme="minorHAnsi"/>
          <w:sz w:val="22"/>
          <w:szCs w:val="22"/>
        </w:rPr>
        <w:t>20</w:t>
      </w:r>
      <w:r w:rsidRPr="00350CDE">
        <w:rPr>
          <w:rFonts w:asciiTheme="minorHAnsi" w:hAnsiTheme="minorHAnsi" w:cstheme="minorHAnsi"/>
          <w:sz w:val="22"/>
          <w:szCs w:val="22"/>
        </w:rPr>
        <w:t>17/565, en su artículo 4</w:t>
      </w:r>
      <w:r w:rsidR="00455E49" w:rsidRPr="00350CDE">
        <w:rPr>
          <w:rFonts w:asciiTheme="minorHAnsi" w:hAnsiTheme="minorHAnsi" w:cstheme="minorHAnsi"/>
          <w:sz w:val="22"/>
          <w:szCs w:val="22"/>
        </w:rPr>
        <w:t>,</w:t>
      </w:r>
      <w:r w:rsidRPr="00350CDE">
        <w:rPr>
          <w:rFonts w:asciiTheme="minorHAnsi" w:hAnsiTheme="minorHAnsi" w:cstheme="minorHAnsi"/>
          <w:sz w:val="22"/>
          <w:szCs w:val="22"/>
        </w:rPr>
        <w:t xml:space="preserve"> </w:t>
      </w:r>
      <w:r w:rsidR="00342ADD" w:rsidRPr="00350CDE">
        <w:rPr>
          <w:rFonts w:asciiTheme="minorHAnsi" w:hAnsiTheme="minorHAnsi" w:cstheme="minorHAnsi"/>
          <w:sz w:val="22"/>
          <w:szCs w:val="22"/>
        </w:rPr>
        <w:t xml:space="preserve">especifica el concepto de </w:t>
      </w:r>
      <w:r w:rsidRPr="00350CDE">
        <w:rPr>
          <w:rFonts w:asciiTheme="minorHAnsi" w:hAnsiTheme="minorHAnsi" w:cstheme="minorHAnsi"/>
          <w:b/>
          <w:sz w:val="22"/>
          <w:szCs w:val="22"/>
        </w:rPr>
        <w:t>Prestación de un servicio de inversión de forma accesoria</w:t>
      </w:r>
      <w:r w:rsidRPr="00350CDE">
        <w:rPr>
          <w:rFonts w:asciiTheme="minorHAnsi" w:hAnsiTheme="minorHAnsi" w:cstheme="minorHAnsi"/>
          <w:sz w:val="22"/>
          <w:szCs w:val="22"/>
        </w:rPr>
        <w:t xml:space="preserve"> </w:t>
      </w:r>
    </w:p>
    <w:p w:rsidR="00EF656A" w:rsidRPr="00350CDE" w:rsidRDefault="00EF656A" w:rsidP="00261534">
      <w:pPr>
        <w:spacing w:before="120"/>
        <w:ind w:left="360"/>
        <w:jc w:val="both"/>
        <w:rPr>
          <w:rFonts w:asciiTheme="minorHAnsi" w:hAnsiTheme="minorHAnsi" w:cstheme="minorHAnsi"/>
          <w:i/>
          <w:sz w:val="22"/>
          <w:szCs w:val="22"/>
        </w:rPr>
      </w:pPr>
      <w:r w:rsidRPr="00350CDE">
        <w:rPr>
          <w:rFonts w:asciiTheme="minorHAnsi" w:hAnsiTheme="minorHAnsi" w:cstheme="minorHAnsi"/>
          <w:i/>
          <w:sz w:val="22"/>
          <w:szCs w:val="22"/>
        </w:rPr>
        <w:lastRenderedPageBreak/>
        <w:t xml:space="preserve">“A efectos de la excepción recogida en el artículo 2, apartado 1, letra c), de la Directiva 2014/65/UE, se considerará que se </w:t>
      </w:r>
      <w:r w:rsidRPr="00350CDE">
        <w:rPr>
          <w:rFonts w:asciiTheme="minorHAnsi" w:hAnsiTheme="minorHAnsi" w:cstheme="minorHAnsi"/>
          <w:b/>
          <w:i/>
          <w:sz w:val="22"/>
          <w:szCs w:val="22"/>
        </w:rPr>
        <w:t>presta un servicio de inversión de forma accesoria</w:t>
      </w:r>
      <w:r w:rsidRPr="00350CDE">
        <w:rPr>
          <w:rFonts w:asciiTheme="minorHAnsi" w:hAnsiTheme="minorHAnsi" w:cstheme="minorHAnsi"/>
          <w:i/>
          <w:sz w:val="22"/>
          <w:szCs w:val="22"/>
        </w:rPr>
        <w:t xml:space="preserve"> en el marco de una actividad profesional cuando se cumplan las siguientes condiciones: </w:t>
      </w:r>
    </w:p>
    <w:p w:rsidR="00EF656A" w:rsidRPr="00350CDE" w:rsidRDefault="00EF656A" w:rsidP="00261534">
      <w:pPr>
        <w:pStyle w:val="Prrafodelista"/>
        <w:numPr>
          <w:ilvl w:val="0"/>
          <w:numId w:val="1"/>
        </w:numPr>
        <w:spacing w:before="120"/>
        <w:ind w:left="1080"/>
        <w:contextualSpacing w:val="0"/>
        <w:jc w:val="both"/>
        <w:rPr>
          <w:rFonts w:asciiTheme="minorHAnsi" w:hAnsiTheme="minorHAnsi" w:cstheme="minorHAnsi"/>
          <w:i/>
          <w:sz w:val="22"/>
          <w:szCs w:val="22"/>
        </w:rPr>
      </w:pPr>
      <w:r w:rsidRPr="00350CDE">
        <w:rPr>
          <w:rFonts w:asciiTheme="minorHAnsi" w:hAnsiTheme="minorHAnsi" w:cstheme="minorHAnsi"/>
          <w:i/>
          <w:sz w:val="22"/>
          <w:szCs w:val="22"/>
        </w:rPr>
        <w:t xml:space="preserve">que exista una conexión estrecha y objetiva entre la actividad profesional y la prestación del servicio de inversión al mismo cliente, de modo que pueda considerarse que el servicio de inversión </w:t>
      </w:r>
      <w:r w:rsidRPr="00350CDE">
        <w:rPr>
          <w:rFonts w:asciiTheme="minorHAnsi" w:hAnsiTheme="minorHAnsi" w:cstheme="minorHAnsi"/>
          <w:i/>
          <w:sz w:val="22"/>
          <w:szCs w:val="22"/>
          <w:u w:val="single"/>
        </w:rPr>
        <w:t>complementa la actividad profesional principal</w:t>
      </w:r>
      <w:r w:rsidRPr="00350CDE">
        <w:rPr>
          <w:rFonts w:asciiTheme="minorHAnsi" w:hAnsiTheme="minorHAnsi" w:cstheme="minorHAnsi"/>
          <w:i/>
          <w:sz w:val="22"/>
          <w:szCs w:val="22"/>
        </w:rPr>
        <w:t xml:space="preserve">; </w:t>
      </w:r>
    </w:p>
    <w:p w:rsidR="00EF656A" w:rsidRPr="00350CDE" w:rsidRDefault="00EF656A" w:rsidP="00261534">
      <w:pPr>
        <w:pStyle w:val="Prrafodelista"/>
        <w:numPr>
          <w:ilvl w:val="0"/>
          <w:numId w:val="1"/>
        </w:numPr>
        <w:spacing w:before="120"/>
        <w:ind w:left="1080"/>
        <w:contextualSpacing w:val="0"/>
        <w:jc w:val="both"/>
        <w:rPr>
          <w:rFonts w:asciiTheme="minorHAnsi" w:hAnsiTheme="minorHAnsi" w:cstheme="minorHAnsi"/>
          <w:i/>
          <w:sz w:val="22"/>
          <w:szCs w:val="22"/>
        </w:rPr>
      </w:pPr>
      <w:r w:rsidRPr="00350CDE">
        <w:rPr>
          <w:rFonts w:asciiTheme="minorHAnsi" w:hAnsiTheme="minorHAnsi" w:cstheme="minorHAnsi"/>
          <w:i/>
          <w:sz w:val="22"/>
          <w:szCs w:val="22"/>
        </w:rPr>
        <w:t xml:space="preserve">que la prestación de servicios de inversión a los clientes de la actividad profesional principal </w:t>
      </w:r>
      <w:r w:rsidRPr="00350CDE">
        <w:rPr>
          <w:rFonts w:asciiTheme="minorHAnsi" w:hAnsiTheme="minorHAnsi" w:cstheme="minorHAnsi"/>
          <w:i/>
          <w:sz w:val="22"/>
          <w:szCs w:val="22"/>
          <w:u w:val="single"/>
        </w:rPr>
        <w:t>no tenga por objetivo proporcionar una fuente sistemática de ingresos</w:t>
      </w:r>
      <w:r w:rsidRPr="00350CDE">
        <w:rPr>
          <w:rFonts w:asciiTheme="minorHAnsi" w:hAnsiTheme="minorHAnsi" w:cstheme="minorHAnsi"/>
          <w:i/>
          <w:sz w:val="22"/>
          <w:szCs w:val="22"/>
        </w:rPr>
        <w:t xml:space="preserve"> a la persona que presta la actividad profesional, y </w:t>
      </w:r>
    </w:p>
    <w:p w:rsidR="00EF656A" w:rsidRPr="00350CDE" w:rsidRDefault="00EF656A" w:rsidP="00261534">
      <w:pPr>
        <w:pStyle w:val="Prrafodelista"/>
        <w:numPr>
          <w:ilvl w:val="0"/>
          <w:numId w:val="1"/>
        </w:numPr>
        <w:spacing w:before="120"/>
        <w:ind w:left="1080"/>
        <w:contextualSpacing w:val="0"/>
        <w:jc w:val="both"/>
        <w:rPr>
          <w:rFonts w:asciiTheme="minorHAnsi" w:hAnsiTheme="minorHAnsi" w:cstheme="minorHAnsi"/>
          <w:i/>
          <w:sz w:val="22"/>
          <w:szCs w:val="22"/>
        </w:rPr>
      </w:pPr>
      <w:r w:rsidRPr="00350CDE">
        <w:rPr>
          <w:rFonts w:asciiTheme="minorHAnsi" w:hAnsiTheme="minorHAnsi" w:cstheme="minorHAnsi"/>
          <w:i/>
          <w:sz w:val="22"/>
          <w:szCs w:val="22"/>
        </w:rPr>
        <w:t xml:space="preserve">que la persona que desempeñe la actividad profesional </w:t>
      </w:r>
      <w:r w:rsidRPr="00350CDE">
        <w:rPr>
          <w:rFonts w:asciiTheme="minorHAnsi" w:hAnsiTheme="minorHAnsi" w:cstheme="minorHAnsi"/>
          <w:i/>
          <w:color w:val="000000" w:themeColor="text1"/>
          <w:sz w:val="22"/>
          <w:szCs w:val="22"/>
          <w:u w:val="single"/>
        </w:rPr>
        <w:t>no comercialice o promocione su capacidad para ofrecer servicios de inversión, salvo que se comunique a los clientes que estos son complementarios de la actividad profesional principal</w:t>
      </w:r>
      <w:r w:rsidRPr="00350CDE">
        <w:rPr>
          <w:rFonts w:asciiTheme="minorHAnsi" w:hAnsiTheme="minorHAnsi" w:cstheme="minorHAnsi"/>
          <w:i/>
          <w:sz w:val="22"/>
          <w:szCs w:val="22"/>
        </w:rPr>
        <w:t>.”</w:t>
      </w:r>
    </w:p>
    <w:p w:rsidR="00EF656A" w:rsidRPr="00350CDE" w:rsidRDefault="00342ADD"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En nuestra opinión, l</w:t>
      </w:r>
      <w:r w:rsidR="00EF656A" w:rsidRPr="00350CDE">
        <w:rPr>
          <w:rFonts w:asciiTheme="minorHAnsi" w:hAnsiTheme="minorHAnsi" w:cstheme="minorHAnsi"/>
          <w:sz w:val="22"/>
          <w:szCs w:val="22"/>
        </w:rPr>
        <w:t xml:space="preserve">a prestación de un servicio de inversión de forma accesoria, fundamentalmente el asesoramiento financiero, en los términos previstos en </w:t>
      </w:r>
      <w:r w:rsidR="00455E49" w:rsidRPr="00350CDE">
        <w:rPr>
          <w:rFonts w:asciiTheme="minorHAnsi" w:hAnsiTheme="minorHAnsi" w:cstheme="minorHAnsi"/>
          <w:sz w:val="22"/>
          <w:szCs w:val="22"/>
        </w:rPr>
        <w:t>Reglamento Delegado 2017/565</w:t>
      </w:r>
      <w:r w:rsidR="00EF656A" w:rsidRPr="00350CDE">
        <w:rPr>
          <w:rFonts w:asciiTheme="minorHAnsi" w:hAnsiTheme="minorHAnsi" w:cstheme="minorHAnsi"/>
          <w:sz w:val="22"/>
          <w:szCs w:val="22"/>
        </w:rPr>
        <w:t>, induce</w:t>
      </w:r>
      <w:r w:rsidR="00455E49" w:rsidRPr="00350CDE">
        <w:rPr>
          <w:rFonts w:asciiTheme="minorHAnsi" w:hAnsiTheme="minorHAnsi" w:cstheme="minorHAnsi"/>
          <w:sz w:val="22"/>
          <w:szCs w:val="22"/>
        </w:rPr>
        <w:t>,</w:t>
      </w:r>
      <w:r w:rsidR="00EF656A" w:rsidRPr="00350CDE">
        <w:rPr>
          <w:rFonts w:asciiTheme="minorHAnsi" w:hAnsiTheme="minorHAnsi" w:cstheme="minorHAnsi"/>
          <w:sz w:val="22"/>
          <w:szCs w:val="22"/>
        </w:rPr>
        <w:t xml:space="preserve"> a las entidades que prestan este servicio</w:t>
      </w:r>
      <w:r w:rsidR="00455E49" w:rsidRPr="00350CDE">
        <w:rPr>
          <w:rFonts w:asciiTheme="minorHAnsi" w:hAnsiTheme="minorHAnsi" w:cstheme="minorHAnsi"/>
          <w:sz w:val="22"/>
          <w:szCs w:val="22"/>
        </w:rPr>
        <w:t>,</w:t>
      </w:r>
      <w:r w:rsidR="00EF656A" w:rsidRPr="00350CDE">
        <w:rPr>
          <w:rFonts w:asciiTheme="minorHAnsi" w:hAnsiTheme="minorHAnsi" w:cstheme="minorHAnsi"/>
          <w:sz w:val="22"/>
          <w:szCs w:val="22"/>
        </w:rPr>
        <w:t xml:space="preserve"> a no regularse ya que:</w:t>
      </w:r>
    </w:p>
    <w:p w:rsidR="00EF656A" w:rsidRPr="00350CDE" w:rsidRDefault="00EF656A" w:rsidP="00647FA9">
      <w:pPr>
        <w:pStyle w:val="Prrafodelista"/>
        <w:numPr>
          <w:ilvl w:val="0"/>
          <w:numId w:val="2"/>
        </w:numPr>
        <w:spacing w:before="120"/>
        <w:contextualSpacing w:val="0"/>
        <w:jc w:val="both"/>
        <w:rPr>
          <w:rFonts w:asciiTheme="minorHAnsi" w:hAnsiTheme="minorHAnsi" w:cstheme="minorHAnsi"/>
          <w:sz w:val="22"/>
          <w:szCs w:val="22"/>
        </w:rPr>
      </w:pPr>
      <w:r w:rsidRPr="00350CDE">
        <w:rPr>
          <w:rFonts w:asciiTheme="minorHAnsi" w:hAnsiTheme="minorHAnsi" w:cstheme="minorHAnsi"/>
          <w:sz w:val="22"/>
          <w:szCs w:val="22"/>
        </w:rPr>
        <w:t xml:space="preserve">Siempre se puede justificar que este servicio se presta de forma complementaria a otro no regulado: asesoramiento fiscal, asesoramiento patrimonial, </w:t>
      </w:r>
      <w:proofErr w:type="spellStart"/>
      <w:r w:rsidRPr="00350CDE">
        <w:rPr>
          <w:rFonts w:asciiTheme="minorHAnsi" w:hAnsiTheme="minorHAnsi" w:cstheme="minorHAnsi"/>
          <w:sz w:val="22"/>
          <w:szCs w:val="22"/>
        </w:rPr>
        <w:t>family</w:t>
      </w:r>
      <w:proofErr w:type="spellEnd"/>
      <w:r w:rsidRPr="00350CDE">
        <w:rPr>
          <w:rFonts w:asciiTheme="minorHAnsi" w:hAnsiTheme="minorHAnsi" w:cstheme="minorHAnsi"/>
          <w:sz w:val="22"/>
          <w:szCs w:val="22"/>
        </w:rPr>
        <w:t xml:space="preserve"> office</w:t>
      </w:r>
      <w:proofErr w:type="gramStart"/>
      <w:r w:rsidRPr="00350CDE">
        <w:rPr>
          <w:rFonts w:asciiTheme="minorHAnsi" w:hAnsiTheme="minorHAnsi" w:cstheme="minorHAnsi"/>
          <w:sz w:val="22"/>
          <w:szCs w:val="22"/>
        </w:rPr>
        <w:t>, ..</w:t>
      </w:r>
      <w:proofErr w:type="gramEnd"/>
    </w:p>
    <w:p w:rsidR="00EF656A" w:rsidRPr="00350CDE" w:rsidRDefault="00EF656A" w:rsidP="00647FA9">
      <w:pPr>
        <w:pStyle w:val="Prrafodelista"/>
        <w:numPr>
          <w:ilvl w:val="0"/>
          <w:numId w:val="2"/>
        </w:numPr>
        <w:spacing w:before="120"/>
        <w:contextualSpacing w:val="0"/>
        <w:jc w:val="both"/>
        <w:rPr>
          <w:rFonts w:asciiTheme="minorHAnsi" w:hAnsiTheme="minorHAnsi" w:cstheme="minorHAnsi"/>
          <w:sz w:val="22"/>
          <w:szCs w:val="22"/>
        </w:rPr>
      </w:pPr>
      <w:r w:rsidRPr="00350CDE">
        <w:rPr>
          <w:rFonts w:asciiTheme="minorHAnsi" w:hAnsiTheme="minorHAnsi" w:cstheme="minorHAnsi"/>
          <w:sz w:val="22"/>
          <w:szCs w:val="22"/>
        </w:rPr>
        <w:t>El hecho de que no tenga por objetivo proporcionar una fuente de ingresos sistemática, no es razón suficiente para que sea accesorio, ya que generalmente, estos honorarios están incluidos en una única factura, no desglosados.</w:t>
      </w:r>
    </w:p>
    <w:p w:rsidR="00EF656A" w:rsidRPr="00350CDE" w:rsidRDefault="00EF656A" w:rsidP="00647FA9">
      <w:pPr>
        <w:pStyle w:val="Prrafodelista"/>
        <w:numPr>
          <w:ilvl w:val="0"/>
          <w:numId w:val="2"/>
        </w:numPr>
        <w:spacing w:before="120"/>
        <w:contextualSpacing w:val="0"/>
        <w:jc w:val="both"/>
        <w:rPr>
          <w:rFonts w:asciiTheme="minorHAnsi" w:hAnsiTheme="minorHAnsi" w:cstheme="minorHAnsi"/>
          <w:sz w:val="22"/>
          <w:szCs w:val="22"/>
        </w:rPr>
      </w:pPr>
      <w:r w:rsidRPr="00350CDE">
        <w:rPr>
          <w:rFonts w:asciiTheme="minorHAnsi" w:hAnsiTheme="minorHAnsi" w:cstheme="minorHAnsi"/>
          <w:sz w:val="22"/>
          <w:szCs w:val="22"/>
        </w:rPr>
        <w:t>El hecho de que sea complementario o no</w:t>
      </w:r>
      <w:r w:rsidR="00053806" w:rsidRPr="00350CDE">
        <w:rPr>
          <w:rFonts w:asciiTheme="minorHAnsi" w:hAnsiTheme="minorHAnsi" w:cstheme="minorHAnsi"/>
          <w:sz w:val="22"/>
          <w:szCs w:val="22"/>
        </w:rPr>
        <w:t xml:space="preserve"> lo sea</w:t>
      </w:r>
      <w:r w:rsidRPr="00350CDE">
        <w:rPr>
          <w:rFonts w:asciiTheme="minorHAnsi" w:hAnsiTheme="minorHAnsi" w:cstheme="minorHAnsi"/>
          <w:sz w:val="22"/>
          <w:szCs w:val="22"/>
        </w:rPr>
        <w:t xml:space="preserve">, o no se cobre específicamente, no debería menoscabar los requisitos para prestar un servicio idóneo a los clientes. Si el objetivo de la norma es la protección del inversor y ésta permite que se preste por personas que puede que no cumplan los requisitos de idoneidad que establece la misma norma, no se cumpliría este objetivo. </w:t>
      </w:r>
    </w:p>
    <w:p w:rsidR="00342ADD" w:rsidRPr="00350CDE" w:rsidRDefault="00EF656A" w:rsidP="00261534">
      <w:pPr>
        <w:spacing w:before="120"/>
        <w:jc w:val="both"/>
        <w:rPr>
          <w:rFonts w:asciiTheme="minorHAnsi" w:hAnsiTheme="minorHAnsi" w:cstheme="minorHAnsi"/>
          <w:sz w:val="22"/>
          <w:szCs w:val="22"/>
        </w:rPr>
      </w:pPr>
      <w:r w:rsidRPr="00350CDE">
        <w:rPr>
          <w:rFonts w:asciiTheme="minorHAnsi" w:hAnsiTheme="minorHAnsi" w:cstheme="minorHAnsi"/>
          <w:sz w:val="22"/>
          <w:szCs w:val="22"/>
        </w:rPr>
        <w:t>Por tanto</w:t>
      </w:r>
      <w:r w:rsidR="00342ADD" w:rsidRPr="00350CDE">
        <w:rPr>
          <w:rFonts w:asciiTheme="minorHAnsi" w:hAnsiTheme="minorHAnsi" w:cstheme="minorHAnsi"/>
          <w:sz w:val="22"/>
          <w:szCs w:val="22"/>
        </w:rPr>
        <w:t>, creemos, que sería una bue</w:t>
      </w:r>
      <w:r w:rsidR="009364BC" w:rsidRPr="00350CDE">
        <w:rPr>
          <w:rFonts w:asciiTheme="minorHAnsi" w:hAnsiTheme="minorHAnsi" w:cstheme="minorHAnsi"/>
          <w:sz w:val="22"/>
          <w:szCs w:val="22"/>
        </w:rPr>
        <w:t>na oportunidad para definir</w:t>
      </w:r>
      <w:r w:rsidR="00342ADD" w:rsidRPr="00350CDE">
        <w:rPr>
          <w:rFonts w:asciiTheme="minorHAnsi" w:hAnsiTheme="minorHAnsi" w:cstheme="minorHAnsi"/>
          <w:sz w:val="22"/>
          <w:szCs w:val="22"/>
        </w:rPr>
        <w:t xml:space="preserve"> </w:t>
      </w:r>
      <w:r w:rsidR="002E774B" w:rsidRPr="00350CDE">
        <w:rPr>
          <w:rFonts w:asciiTheme="minorHAnsi" w:hAnsiTheme="minorHAnsi" w:cstheme="minorHAnsi"/>
          <w:sz w:val="22"/>
          <w:szCs w:val="22"/>
        </w:rPr>
        <w:t>más</w:t>
      </w:r>
      <w:r w:rsidR="00342ADD" w:rsidRPr="00350CDE">
        <w:rPr>
          <w:rFonts w:asciiTheme="minorHAnsi" w:hAnsiTheme="minorHAnsi" w:cstheme="minorHAnsi"/>
          <w:sz w:val="22"/>
          <w:szCs w:val="22"/>
        </w:rPr>
        <w:t xml:space="preserve"> la prestación de servicios de inversión como un servicio accesorio, para acotar aquellas circunstancias, que deben ser excepcionales, en las que se presta este servicio que está regulado. Hay que tener en cuenta las circunstancias del </w:t>
      </w:r>
      <w:r w:rsidR="00E50D2B">
        <w:rPr>
          <w:rFonts w:asciiTheme="minorHAnsi" w:hAnsiTheme="minorHAnsi" w:cstheme="minorHAnsi"/>
          <w:sz w:val="22"/>
          <w:szCs w:val="22"/>
        </w:rPr>
        <w:t>m</w:t>
      </w:r>
      <w:r w:rsidR="00342ADD" w:rsidRPr="00350CDE">
        <w:rPr>
          <w:rFonts w:asciiTheme="minorHAnsi" w:hAnsiTheme="minorHAnsi" w:cstheme="minorHAnsi"/>
          <w:sz w:val="22"/>
          <w:szCs w:val="22"/>
        </w:rPr>
        <w:t>ercado español, en el que el volumen de patrimonio asesorado es muy inferior a otros países europeos, debido fundamentalmente a que se presta por entidades o profesionales sin autorización bajo la apariencia de “servic</w:t>
      </w:r>
      <w:r w:rsidR="00982FFC" w:rsidRPr="00350CDE">
        <w:rPr>
          <w:rFonts w:asciiTheme="minorHAnsi" w:hAnsiTheme="minorHAnsi" w:cstheme="minorHAnsi"/>
          <w:sz w:val="22"/>
          <w:szCs w:val="22"/>
        </w:rPr>
        <w:t>i</w:t>
      </w:r>
      <w:r w:rsidR="00342ADD" w:rsidRPr="00350CDE">
        <w:rPr>
          <w:rFonts w:asciiTheme="minorHAnsi" w:hAnsiTheme="minorHAnsi" w:cstheme="minorHAnsi"/>
          <w:sz w:val="22"/>
          <w:szCs w:val="22"/>
        </w:rPr>
        <w:t>o accesorio”</w:t>
      </w:r>
      <w:r w:rsidR="00455E49" w:rsidRPr="00350CDE">
        <w:rPr>
          <w:rFonts w:asciiTheme="minorHAnsi" w:hAnsiTheme="minorHAnsi" w:cstheme="minorHAnsi"/>
          <w:sz w:val="22"/>
          <w:szCs w:val="22"/>
        </w:rPr>
        <w:t>.</w:t>
      </w:r>
    </w:p>
    <w:p w:rsidR="00455E49" w:rsidRPr="0053097D" w:rsidRDefault="00455E49" w:rsidP="00261534">
      <w:pPr>
        <w:spacing w:before="120"/>
        <w:jc w:val="both"/>
        <w:rPr>
          <w:rFonts w:asciiTheme="minorHAnsi" w:hAnsiTheme="minorHAnsi" w:cstheme="minorHAnsi"/>
          <w:sz w:val="22"/>
          <w:szCs w:val="22"/>
        </w:rPr>
      </w:pPr>
      <w:r w:rsidRPr="0053097D">
        <w:rPr>
          <w:rFonts w:asciiTheme="minorHAnsi" w:hAnsiTheme="minorHAnsi" w:cstheme="minorHAnsi"/>
          <w:sz w:val="22"/>
          <w:szCs w:val="22"/>
        </w:rPr>
        <w:t>Se ha constatado que, aunque el número de Empresas de Asesoramiento Financiero ha ido creciendo año a año desde el año 2009</w:t>
      </w:r>
      <w:r w:rsidR="00053806" w:rsidRPr="0053097D">
        <w:rPr>
          <w:rFonts w:asciiTheme="minorHAnsi" w:hAnsiTheme="minorHAnsi" w:cstheme="minorHAnsi"/>
          <w:sz w:val="22"/>
          <w:szCs w:val="22"/>
        </w:rPr>
        <w:t>,</w:t>
      </w:r>
      <w:r w:rsidRPr="0053097D">
        <w:rPr>
          <w:rFonts w:asciiTheme="minorHAnsi" w:hAnsiTheme="minorHAnsi" w:cstheme="minorHAnsi"/>
          <w:sz w:val="22"/>
          <w:szCs w:val="22"/>
        </w:rPr>
        <w:t xml:space="preserve"> se han dado de baja en el registro de Empresas de Asesoramiento Financiero de la CNMV un </w:t>
      </w:r>
      <w:r w:rsidR="00053806" w:rsidRPr="0053097D">
        <w:rPr>
          <w:rFonts w:asciiTheme="minorHAnsi" w:hAnsiTheme="minorHAnsi" w:cstheme="minorHAnsi"/>
          <w:sz w:val="22"/>
          <w:szCs w:val="22"/>
        </w:rPr>
        <w:t>20% de entidades</w:t>
      </w:r>
      <w:r w:rsidR="00BA4528">
        <w:rPr>
          <w:rFonts w:asciiTheme="minorHAnsi" w:hAnsiTheme="minorHAnsi" w:cstheme="minorHAnsi"/>
          <w:sz w:val="22"/>
          <w:szCs w:val="22"/>
        </w:rPr>
        <w:t xml:space="preserve"> registradas</w:t>
      </w:r>
      <w:r w:rsidR="00053806" w:rsidRPr="0053097D">
        <w:rPr>
          <w:rFonts w:asciiTheme="minorHAnsi" w:hAnsiTheme="minorHAnsi" w:cstheme="minorHAnsi"/>
          <w:sz w:val="22"/>
          <w:szCs w:val="22"/>
        </w:rPr>
        <w:t>. El hecho de poder prestar asesoramiento como accesorio o la posibilidad de realizar un asesoramiento general, sin recomendar un instrumento de forma específica menoscaba la credibilidad de la actividad de asesoramiento como un servicio de inversión regulado.</w:t>
      </w:r>
    </w:p>
    <w:p w:rsidR="00353D79" w:rsidRPr="00340797" w:rsidRDefault="00982FFC" w:rsidP="00340797">
      <w:pPr>
        <w:pStyle w:val="Ttulo3"/>
        <w:rPr>
          <w:rFonts w:asciiTheme="minorHAnsi" w:hAnsiTheme="minorHAnsi" w:cstheme="minorHAnsi"/>
          <w:sz w:val="24"/>
          <w:szCs w:val="24"/>
        </w:rPr>
      </w:pPr>
      <w:bookmarkStart w:id="5" w:name="_Toc493227773"/>
      <w:r w:rsidRPr="00340797">
        <w:rPr>
          <w:rFonts w:asciiTheme="minorHAnsi" w:hAnsiTheme="minorHAnsi" w:cstheme="minorHAnsi"/>
          <w:sz w:val="24"/>
          <w:szCs w:val="24"/>
        </w:rPr>
        <w:t>2.2. En relación a las excepciones facultativas,</w:t>
      </w:r>
      <w:bookmarkEnd w:id="5"/>
    </w:p>
    <w:p w:rsidR="00982FFC" w:rsidRPr="00350CDE" w:rsidRDefault="00E50D2B" w:rsidP="00647FA9">
      <w:pPr>
        <w:spacing w:before="120"/>
        <w:jc w:val="both"/>
        <w:rPr>
          <w:rFonts w:asciiTheme="minorHAnsi" w:hAnsiTheme="minorHAnsi" w:cstheme="minorHAnsi"/>
          <w:sz w:val="22"/>
          <w:szCs w:val="22"/>
        </w:rPr>
      </w:pPr>
      <w:r>
        <w:rPr>
          <w:rFonts w:asciiTheme="minorHAnsi" w:hAnsiTheme="minorHAnsi" w:cstheme="minorHAnsi"/>
          <w:sz w:val="22"/>
          <w:szCs w:val="22"/>
        </w:rPr>
        <w:t xml:space="preserve">El Anteproyecto, en su art.5, </w:t>
      </w:r>
      <w:r w:rsidR="00982FFC" w:rsidRPr="00350CDE">
        <w:rPr>
          <w:rFonts w:asciiTheme="minorHAnsi" w:hAnsiTheme="minorHAnsi" w:cstheme="minorHAnsi"/>
          <w:sz w:val="22"/>
          <w:szCs w:val="22"/>
        </w:rPr>
        <w:t>indica que podrán solicitar quedar excluidas de la aplicación de los requisitos y obligaciones establecidas en ella y sus disposiciones de desarrollo</w:t>
      </w:r>
      <w:r w:rsidR="00246BCB" w:rsidRPr="00350CDE">
        <w:rPr>
          <w:rFonts w:asciiTheme="minorHAnsi" w:hAnsiTheme="minorHAnsi" w:cstheme="minorHAnsi"/>
          <w:sz w:val="22"/>
          <w:szCs w:val="22"/>
        </w:rPr>
        <w:t xml:space="preserve"> las personas o entidades que,  </w:t>
      </w:r>
      <w:r w:rsidR="00246BCB" w:rsidRPr="00350CDE">
        <w:rPr>
          <w:rFonts w:asciiTheme="minorHAnsi" w:hAnsiTheme="minorHAnsi" w:cstheme="minorHAnsi"/>
          <w:i/>
          <w:sz w:val="22"/>
          <w:szCs w:val="22"/>
        </w:rPr>
        <w:t>“</w:t>
      </w:r>
      <w:r w:rsidR="00982FFC" w:rsidRPr="00350CDE">
        <w:rPr>
          <w:rFonts w:asciiTheme="minorHAnsi" w:hAnsiTheme="minorHAnsi" w:cstheme="minorHAnsi"/>
          <w:i/>
          <w:sz w:val="22"/>
          <w:szCs w:val="22"/>
        </w:rPr>
        <w:t xml:space="preserve">2.º no estén autorizadas a prestar servicios de inversión, a no ser la recepción y transmisión de órdenes sobre valores negociables o la </w:t>
      </w:r>
      <w:r w:rsidR="00982FFC" w:rsidRPr="00350CDE">
        <w:rPr>
          <w:rFonts w:asciiTheme="minorHAnsi" w:hAnsiTheme="minorHAnsi" w:cstheme="minorHAnsi"/>
          <w:i/>
          <w:sz w:val="22"/>
          <w:szCs w:val="22"/>
          <w:u w:val="single"/>
        </w:rPr>
        <w:t>prestación de asesoramiento en materia de inversión</w:t>
      </w:r>
      <w:r w:rsidR="00982FFC" w:rsidRPr="00350CDE">
        <w:rPr>
          <w:rFonts w:asciiTheme="minorHAnsi" w:hAnsiTheme="minorHAnsi" w:cstheme="minorHAnsi"/>
          <w:i/>
          <w:sz w:val="22"/>
          <w:szCs w:val="22"/>
        </w:rPr>
        <w:t xml:space="preserve"> en relación con </w:t>
      </w:r>
      <w:r>
        <w:rPr>
          <w:rFonts w:asciiTheme="minorHAnsi" w:hAnsiTheme="minorHAnsi" w:cstheme="minorHAnsi"/>
          <w:i/>
          <w:sz w:val="22"/>
          <w:szCs w:val="22"/>
        </w:rPr>
        <w:t>dichos instrumentos financieros</w:t>
      </w:r>
      <w:r w:rsidR="00246BCB" w:rsidRPr="00350CDE">
        <w:rPr>
          <w:rFonts w:asciiTheme="minorHAnsi" w:hAnsiTheme="minorHAnsi" w:cstheme="minorHAnsi"/>
          <w:i/>
          <w:sz w:val="22"/>
          <w:szCs w:val="22"/>
        </w:rPr>
        <w:t>”</w:t>
      </w:r>
      <w:r>
        <w:rPr>
          <w:rFonts w:asciiTheme="minorHAnsi" w:hAnsiTheme="minorHAnsi" w:cstheme="minorHAnsi"/>
          <w:i/>
          <w:sz w:val="22"/>
          <w:szCs w:val="22"/>
        </w:rPr>
        <w:t xml:space="preserve"> s</w:t>
      </w:r>
      <w:r w:rsidR="00246BCB" w:rsidRPr="00350CDE">
        <w:rPr>
          <w:rFonts w:asciiTheme="minorHAnsi" w:hAnsiTheme="minorHAnsi" w:cstheme="minorHAnsi"/>
          <w:sz w:val="22"/>
          <w:szCs w:val="22"/>
        </w:rPr>
        <w:t>iempre que se cumplan unas determinadas condiciones.</w:t>
      </w:r>
    </w:p>
    <w:p w:rsidR="00246BCB" w:rsidRPr="00350CDE" w:rsidRDefault="00246BCB"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MIFID</w:t>
      </w:r>
      <w:r w:rsidR="00E50D2B">
        <w:rPr>
          <w:rFonts w:asciiTheme="minorHAnsi" w:hAnsiTheme="minorHAnsi" w:cstheme="minorHAnsi"/>
          <w:sz w:val="22"/>
          <w:szCs w:val="22"/>
        </w:rPr>
        <w:t>2</w:t>
      </w:r>
      <w:r w:rsidRPr="00350CDE">
        <w:rPr>
          <w:rFonts w:asciiTheme="minorHAnsi" w:hAnsiTheme="minorHAnsi" w:cstheme="minorHAnsi"/>
          <w:sz w:val="22"/>
          <w:szCs w:val="22"/>
        </w:rPr>
        <w:t>, no el Anteproyecto ni el Reglamento, establece que, estas entidades exentas</w:t>
      </w:r>
      <w:r w:rsidR="00053806" w:rsidRPr="00350CDE">
        <w:rPr>
          <w:rFonts w:asciiTheme="minorHAnsi" w:hAnsiTheme="minorHAnsi" w:cstheme="minorHAnsi"/>
          <w:sz w:val="22"/>
          <w:szCs w:val="22"/>
        </w:rPr>
        <w:t xml:space="preserve"> según</w:t>
      </w:r>
      <w:r w:rsidR="00E50D2B">
        <w:rPr>
          <w:rFonts w:asciiTheme="minorHAnsi" w:hAnsiTheme="minorHAnsi" w:cstheme="minorHAnsi"/>
          <w:sz w:val="22"/>
          <w:szCs w:val="22"/>
        </w:rPr>
        <w:t xml:space="preserve"> </w:t>
      </w:r>
      <w:proofErr w:type="spellStart"/>
      <w:r w:rsidR="00E50D2B">
        <w:rPr>
          <w:rFonts w:asciiTheme="minorHAnsi" w:hAnsiTheme="minorHAnsi" w:cstheme="minorHAnsi"/>
          <w:sz w:val="22"/>
          <w:szCs w:val="22"/>
        </w:rPr>
        <w:t>su</w:t>
      </w:r>
      <w:r w:rsidR="00053806" w:rsidRPr="00350CDE">
        <w:rPr>
          <w:rFonts w:asciiTheme="minorHAnsi" w:hAnsiTheme="minorHAnsi" w:cstheme="minorHAnsi"/>
          <w:sz w:val="22"/>
          <w:szCs w:val="22"/>
        </w:rPr>
        <w:t>l</w:t>
      </w:r>
      <w:proofErr w:type="spellEnd"/>
      <w:r w:rsidR="00053806" w:rsidRPr="00350CDE">
        <w:rPr>
          <w:rFonts w:asciiTheme="minorHAnsi" w:hAnsiTheme="minorHAnsi" w:cstheme="minorHAnsi"/>
          <w:sz w:val="22"/>
          <w:szCs w:val="22"/>
        </w:rPr>
        <w:t xml:space="preserve"> art.3.</w:t>
      </w:r>
      <w:r w:rsidRPr="00350CDE">
        <w:rPr>
          <w:rFonts w:asciiTheme="minorHAnsi" w:hAnsiTheme="minorHAnsi" w:cstheme="minorHAnsi"/>
          <w:sz w:val="22"/>
          <w:szCs w:val="22"/>
        </w:rPr>
        <w:t>, deberán acogerse a lo establecido en los artículos 5 a 10 de la directiva MIFID</w:t>
      </w:r>
      <w:r w:rsidR="00E50D2B">
        <w:rPr>
          <w:rFonts w:asciiTheme="minorHAnsi" w:hAnsiTheme="minorHAnsi" w:cstheme="minorHAnsi"/>
          <w:sz w:val="22"/>
          <w:szCs w:val="22"/>
        </w:rPr>
        <w:t>2</w:t>
      </w:r>
      <w:r w:rsidRPr="00350CDE">
        <w:rPr>
          <w:rFonts w:asciiTheme="minorHAnsi" w:hAnsiTheme="minorHAnsi" w:cstheme="minorHAnsi"/>
          <w:sz w:val="22"/>
          <w:szCs w:val="22"/>
        </w:rPr>
        <w:t xml:space="preserve"> para su autorización, así </w:t>
      </w:r>
      <w:r w:rsidRPr="00350CDE">
        <w:rPr>
          <w:rFonts w:asciiTheme="minorHAnsi" w:hAnsiTheme="minorHAnsi" w:cstheme="minorHAnsi"/>
          <w:sz w:val="22"/>
          <w:szCs w:val="22"/>
        </w:rPr>
        <w:lastRenderedPageBreak/>
        <w:t>como cumplir las normas de conducta, establecidas en el artículo 24 y 25 y los requisitos de organización, establecidos en el artículo 16, apartado 3.</w:t>
      </w:r>
    </w:p>
    <w:p w:rsidR="00246BCB" w:rsidRPr="00350CDE" w:rsidRDefault="00246BCB"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En el caso de las Empresas de Asesoramiento Financiero, si se aplicaran las excepciones contempladas en el art. 3</w:t>
      </w:r>
      <w:r w:rsidR="00053806" w:rsidRPr="00350CDE">
        <w:rPr>
          <w:rFonts w:asciiTheme="minorHAnsi" w:hAnsiTheme="minorHAnsi" w:cstheme="minorHAnsi"/>
          <w:sz w:val="22"/>
          <w:szCs w:val="22"/>
        </w:rPr>
        <w:t xml:space="preserve"> de MIFID</w:t>
      </w:r>
      <w:r w:rsidR="00E50D2B">
        <w:rPr>
          <w:rFonts w:asciiTheme="minorHAnsi" w:hAnsiTheme="minorHAnsi" w:cstheme="minorHAnsi"/>
          <w:sz w:val="22"/>
          <w:szCs w:val="22"/>
        </w:rPr>
        <w:t>2</w:t>
      </w:r>
      <w:r w:rsidR="00053806" w:rsidRPr="00350CDE">
        <w:rPr>
          <w:rFonts w:asciiTheme="minorHAnsi" w:hAnsiTheme="minorHAnsi" w:cstheme="minorHAnsi"/>
          <w:sz w:val="22"/>
          <w:szCs w:val="22"/>
        </w:rPr>
        <w:t xml:space="preserve"> y 5 del Anteproyecto</w:t>
      </w:r>
      <w:r w:rsidRPr="00350CDE">
        <w:rPr>
          <w:rFonts w:asciiTheme="minorHAnsi" w:hAnsiTheme="minorHAnsi" w:cstheme="minorHAnsi"/>
          <w:sz w:val="22"/>
          <w:szCs w:val="22"/>
        </w:rPr>
        <w:t xml:space="preserve">, habría </w:t>
      </w:r>
      <w:r w:rsidR="00E47D70">
        <w:rPr>
          <w:rFonts w:asciiTheme="minorHAnsi" w:hAnsiTheme="minorHAnsi" w:cstheme="minorHAnsi"/>
          <w:sz w:val="22"/>
          <w:szCs w:val="22"/>
        </w:rPr>
        <w:t>entidades no autorizadas por CNMV sino por otras entidades que obtuvieran la delegación de CNMV</w:t>
      </w:r>
      <w:r w:rsidRPr="00350CDE">
        <w:rPr>
          <w:rFonts w:asciiTheme="minorHAnsi" w:hAnsiTheme="minorHAnsi" w:cstheme="minorHAnsi"/>
          <w:sz w:val="22"/>
          <w:szCs w:val="22"/>
        </w:rPr>
        <w:t>, que incluso podrían tener distintos criterios de autorización. Esto provocaría una mayor fragmentación regulatoria y la ineficiencia de los procedimientos adecuados para el cumplimiento de los requisitos análogos, derivando en una m</w:t>
      </w:r>
      <w:r w:rsidR="002E774B">
        <w:rPr>
          <w:rFonts w:asciiTheme="minorHAnsi" w:hAnsiTheme="minorHAnsi" w:cstheme="minorHAnsi"/>
          <w:sz w:val="22"/>
          <w:szCs w:val="22"/>
        </w:rPr>
        <w:t xml:space="preserve">enor protección del inversor y </w:t>
      </w:r>
      <w:r w:rsidRPr="00350CDE">
        <w:rPr>
          <w:rFonts w:asciiTheme="minorHAnsi" w:hAnsiTheme="minorHAnsi" w:cstheme="minorHAnsi"/>
          <w:sz w:val="22"/>
          <w:szCs w:val="22"/>
        </w:rPr>
        <w:t xml:space="preserve">creando confusión en los clientes actuales y potenciales. </w:t>
      </w:r>
    </w:p>
    <w:p w:rsidR="00C15C3A" w:rsidRDefault="00246BCB"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 xml:space="preserve">Así mismo, se crearían dos registros de Empresas de Asesoramiento Financiero, las autorizadas por CNMV y el resto. Dado lo </w:t>
      </w:r>
      <w:r w:rsidR="00C15C3A" w:rsidRPr="00350CDE">
        <w:rPr>
          <w:rFonts w:asciiTheme="minorHAnsi" w:hAnsiTheme="minorHAnsi" w:cstheme="minorHAnsi"/>
          <w:sz w:val="22"/>
          <w:szCs w:val="22"/>
        </w:rPr>
        <w:t>poco desarrollado que está este sector en España, consideramos que esta disposición haría que hubiera menos entidades registradas</w:t>
      </w:r>
      <w:r w:rsidR="00526DE6">
        <w:rPr>
          <w:rFonts w:asciiTheme="minorHAnsi" w:hAnsiTheme="minorHAnsi" w:cstheme="minorHAnsi"/>
          <w:sz w:val="22"/>
          <w:szCs w:val="22"/>
        </w:rPr>
        <w:t>.</w:t>
      </w:r>
    </w:p>
    <w:p w:rsidR="00526DE6" w:rsidRDefault="00526DE6" w:rsidP="00647FA9">
      <w:pPr>
        <w:spacing w:before="120"/>
        <w:jc w:val="both"/>
        <w:rPr>
          <w:rFonts w:asciiTheme="minorHAnsi" w:hAnsiTheme="minorHAnsi" w:cstheme="minorHAnsi"/>
          <w:sz w:val="22"/>
          <w:szCs w:val="22"/>
        </w:rPr>
      </w:pPr>
      <w:r w:rsidRPr="00526DE6">
        <w:rPr>
          <w:rFonts w:asciiTheme="minorHAnsi" w:hAnsiTheme="minorHAnsi" w:cstheme="minorHAnsi"/>
          <w:sz w:val="22"/>
          <w:szCs w:val="22"/>
        </w:rPr>
        <w:t>Finalmente el Anteproyecto va más allá que la propia MIFID 2,</w:t>
      </w:r>
      <w:r>
        <w:rPr>
          <w:rFonts w:asciiTheme="minorHAnsi" w:hAnsiTheme="minorHAnsi" w:cstheme="minorHAnsi"/>
          <w:sz w:val="22"/>
          <w:szCs w:val="22"/>
        </w:rPr>
        <w:t xml:space="preserve"> </w:t>
      </w:r>
      <w:r w:rsidRPr="00526DE6">
        <w:rPr>
          <w:rFonts w:asciiTheme="minorHAnsi" w:hAnsiTheme="minorHAnsi" w:cstheme="minorHAnsi"/>
          <w:sz w:val="22"/>
          <w:szCs w:val="22"/>
        </w:rPr>
        <w:t>mientras que está incluye una mera habilitación para que los Estados legislen e incorporen la excepción,</w:t>
      </w:r>
      <w:r>
        <w:rPr>
          <w:rFonts w:asciiTheme="minorHAnsi" w:hAnsiTheme="minorHAnsi" w:cstheme="minorHAnsi"/>
          <w:sz w:val="22"/>
          <w:szCs w:val="22"/>
        </w:rPr>
        <w:t xml:space="preserve"> </w:t>
      </w:r>
      <w:r w:rsidRPr="00526DE6">
        <w:rPr>
          <w:rFonts w:asciiTheme="minorHAnsi" w:hAnsiTheme="minorHAnsi" w:cstheme="minorHAnsi"/>
          <w:sz w:val="22"/>
          <w:szCs w:val="22"/>
        </w:rPr>
        <w:t>el Anteproyecto lo regula como un derecho a favor de los interesados.</w:t>
      </w:r>
      <w:r>
        <w:rPr>
          <w:rFonts w:asciiTheme="minorHAnsi" w:hAnsiTheme="minorHAnsi" w:cstheme="minorHAnsi"/>
          <w:sz w:val="22"/>
          <w:szCs w:val="22"/>
        </w:rPr>
        <w:t xml:space="preserve"> </w:t>
      </w:r>
    </w:p>
    <w:p w:rsidR="007E5BF7" w:rsidRPr="00340797" w:rsidRDefault="007E5BF7" w:rsidP="00D81F50">
      <w:pPr>
        <w:pStyle w:val="Ttulo2"/>
        <w:numPr>
          <w:ilvl w:val="0"/>
          <w:numId w:val="20"/>
        </w:numPr>
        <w:rPr>
          <w:rFonts w:asciiTheme="minorHAnsi" w:hAnsiTheme="minorHAnsi" w:cstheme="minorHAnsi"/>
          <w:sz w:val="24"/>
          <w:szCs w:val="24"/>
        </w:rPr>
      </w:pPr>
      <w:bookmarkStart w:id="6" w:name="_Toc493227774"/>
      <w:r>
        <w:rPr>
          <w:rFonts w:asciiTheme="minorHAnsi" w:hAnsiTheme="minorHAnsi" w:cstheme="minorHAnsi"/>
          <w:sz w:val="24"/>
          <w:szCs w:val="24"/>
        </w:rPr>
        <w:t xml:space="preserve">Modificación de la </w:t>
      </w:r>
      <w:r w:rsidRPr="00340797">
        <w:rPr>
          <w:rFonts w:asciiTheme="minorHAnsi" w:hAnsiTheme="minorHAnsi" w:cstheme="minorHAnsi"/>
          <w:sz w:val="24"/>
          <w:szCs w:val="24"/>
        </w:rPr>
        <w:t>Reserva de Denominación</w:t>
      </w:r>
      <w:bookmarkEnd w:id="6"/>
    </w:p>
    <w:p w:rsidR="007E5BF7" w:rsidRPr="00350CDE" w:rsidRDefault="007E5BF7" w:rsidP="007E5BF7">
      <w:pPr>
        <w:spacing w:before="120"/>
        <w:jc w:val="both"/>
        <w:rPr>
          <w:rFonts w:asciiTheme="minorHAnsi" w:hAnsiTheme="minorHAnsi" w:cstheme="minorHAnsi"/>
          <w:sz w:val="22"/>
          <w:szCs w:val="22"/>
        </w:rPr>
      </w:pPr>
      <w:r w:rsidRPr="00350CDE">
        <w:rPr>
          <w:rFonts w:asciiTheme="minorHAnsi" w:hAnsiTheme="minorHAnsi" w:cstheme="minorHAnsi"/>
          <w:sz w:val="22"/>
          <w:szCs w:val="22"/>
        </w:rPr>
        <w:t>En el art. 164 del Anteproyecto y el art. 7 del reglamento, se modifica la abreviatura de Empresa de Asesoramiento Financiero de “E.A.F.I.” que pasará a ser “E.A.F.”</w:t>
      </w:r>
    </w:p>
    <w:p w:rsidR="007E5BF7" w:rsidRPr="00350CDE" w:rsidRDefault="007E5BF7" w:rsidP="007E5BF7">
      <w:pPr>
        <w:spacing w:before="120"/>
        <w:jc w:val="both"/>
        <w:rPr>
          <w:rFonts w:asciiTheme="minorHAnsi" w:hAnsiTheme="minorHAnsi" w:cstheme="minorHAnsi"/>
          <w:sz w:val="22"/>
          <w:szCs w:val="22"/>
        </w:rPr>
      </w:pPr>
      <w:r w:rsidRPr="00350CDE">
        <w:rPr>
          <w:rFonts w:asciiTheme="minorHAnsi" w:hAnsiTheme="minorHAnsi" w:cstheme="minorHAnsi"/>
          <w:sz w:val="22"/>
          <w:szCs w:val="22"/>
        </w:rPr>
        <w:t>Uno de los problemas que tienen las Empresas de Asesoramiento Financiero es el poco conocimiento que tienen los inversores y ahorradores sobre este tipo de empresas de Inversión, aunque, poco a poco han ido introduciéndose con la marca “EAFI” desde hace 9 años, tras un gran esfuerzo para darse a conocer. Sería como volver a empezar a posicionar una nueva marca desconoc</w:t>
      </w:r>
      <w:r w:rsidR="002E774B">
        <w:rPr>
          <w:rFonts w:asciiTheme="minorHAnsi" w:hAnsiTheme="minorHAnsi" w:cstheme="minorHAnsi"/>
          <w:sz w:val="22"/>
          <w:szCs w:val="22"/>
        </w:rPr>
        <w:t>ida.</w:t>
      </w:r>
    </w:p>
    <w:p w:rsidR="007E5BF7" w:rsidRPr="00350CDE" w:rsidRDefault="007E5BF7" w:rsidP="007E5BF7">
      <w:pPr>
        <w:spacing w:before="120"/>
        <w:jc w:val="both"/>
        <w:rPr>
          <w:rFonts w:asciiTheme="minorHAnsi" w:hAnsiTheme="minorHAnsi" w:cstheme="minorHAnsi"/>
          <w:sz w:val="22"/>
          <w:szCs w:val="22"/>
        </w:rPr>
      </w:pPr>
      <w:r w:rsidRPr="00350CDE">
        <w:rPr>
          <w:rFonts w:asciiTheme="minorHAnsi" w:hAnsiTheme="minorHAnsi" w:cstheme="minorHAnsi"/>
          <w:sz w:val="22"/>
          <w:szCs w:val="22"/>
        </w:rPr>
        <w:t>Así mismo, el cambio conllevaría unos costes adicionales a estas entidades, desde el cambio de denominación en el Registro Mercantil, estatutos, papelería, dominios, contratos, páginas web…, entidades que tienen, en su mayoría unos márgenes muy ajustados.</w:t>
      </w:r>
    </w:p>
    <w:p w:rsidR="007E5BF7" w:rsidRPr="00350CDE" w:rsidRDefault="007E5BF7" w:rsidP="007E5BF7">
      <w:pPr>
        <w:spacing w:before="120"/>
        <w:jc w:val="both"/>
        <w:rPr>
          <w:rFonts w:asciiTheme="minorHAnsi" w:hAnsiTheme="minorHAnsi" w:cstheme="minorHAnsi"/>
          <w:sz w:val="22"/>
          <w:szCs w:val="22"/>
        </w:rPr>
      </w:pPr>
      <w:r w:rsidRPr="00350CDE">
        <w:rPr>
          <w:rFonts w:asciiTheme="minorHAnsi" w:hAnsiTheme="minorHAnsi" w:cstheme="minorHAnsi"/>
          <w:sz w:val="22"/>
          <w:szCs w:val="22"/>
        </w:rPr>
        <w:t>Actualmente ya existe y está registrada la denominación “EAF-Economistas Asesores Financieros” como un órgano del Consejo General de Economistas que tiene como miembros a Empresas de Asesoramiento Financiero. En caso de cambiar la abreviatura a EAF induciría a error.</w:t>
      </w:r>
    </w:p>
    <w:p w:rsidR="007E5BF7" w:rsidRPr="00340797" w:rsidRDefault="007E5BF7" w:rsidP="007E5BF7">
      <w:pPr>
        <w:pStyle w:val="Ttulo2"/>
        <w:rPr>
          <w:rFonts w:asciiTheme="minorHAnsi" w:hAnsiTheme="minorHAnsi" w:cstheme="minorHAnsi"/>
          <w:sz w:val="24"/>
          <w:szCs w:val="24"/>
        </w:rPr>
      </w:pPr>
      <w:bookmarkStart w:id="7" w:name="_Toc493227775"/>
      <w:r>
        <w:rPr>
          <w:rFonts w:asciiTheme="minorHAnsi" w:hAnsiTheme="minorHAnsi" w:cstheme="minorHAnsi"/>
          <w:sz w:val="24"/>
          <w:szCs w:val="24"/>
        </w:rPr>
        <w:t>4</w:t>
      </w:r>
      <w:r w:rsidRPr="00340797">
        <w:rPr>
          <w:rFonts w:asciiTheme="minorHAnsi" w:hAnsiTheme="minorHAnsi" w:cstheme="minorHAnsi"/>
          <w:sz w:val="24"/>
          <w:szCs w:val="24"/>
        </w:rPr>
        <w:t>.</w:t>
      </w:r>
      <w:r w:rsidRPr="00340797">
        <w:rPr>
          <w:rFonts w:asciiTheme="minorHAnsi" w:hAnsiTheme="minorHAnsi" w:cstheme="minorHAnsi"/>
          <w:sz w:val="24"/>
          <w:szCs w:val="24"/>
        </w:rPr>
        <w:tab/>
        <w:t>Imposibilidad de tener agentes</w:t>
      </w:r>
      <w:bookmarkEnd w:id="7"/>
    </w:p>
    <w:p w:rsidR="007E5BF7" w:rsidRPr="00350CDE" w:rsidRDefault="007E5BF7" w:rsidP="007E5BF7">
      <w:pPr>
        <w:pStyle w:val="Prrafodelista"/>
        <w:spacing w:before="120"/>
        <w:ind w:left="0"/>
        <w:contextualSpacing w:val="0"/>
        <w:jc w:val="both"/>
        <w:rPr>
          <w:rFonts w:asciiTheme="minorHAnsi" w:hAnsiTheme="minorHAnsi" w:cstheme="minorHAnsi"/>
          <w:sz w:val="22"/>
          <w:szCs w:val="22"/>
        </w:rPr>
      </w:pPr>
      <w:r w:rsidRPr="00350CDE">
        <w:rPr>
          <w:rFonts w:asciiTheme="minorHAnsi" w:hAnsiTheme="minorHAnsi" w:cstheme="minorHAnsi"/>
          <w:sz w:val="22"/>
          <w:szCs w:val="22"/>
        </w:rPr>
        <w:t>El art. 166 del Anteproyecto establece que las empresas de asesoramiento financiero no pueden tener agentes. Es el único tipo de Empresas de Servicios de Inversión que no puede tener agentes</w:t>
      </w:r>
      <w:r w:rsidR="00D81F50">
        <w:rPr>
          <w:rFonts w:asciiTheme="minorHAnsi" w:hAnsiTheme="minorHAnsi" w:cstheme="minorHAnsi"/>
          <w:sz w:val="22"/>
          <w:szCs w:val="22"/>
        </w:rPr>
        <w:t xml:space="preserve"> ni siquiera para realizar la actividad previa de captación de clientes</w:t>
      </w:r>
      <w:r w:rsidRPr="00350CDE">
        <w:rPr>
          <w:rFonts w:asciiTheme="minorHAnsi" w:hAnsiTheme="minorHAnsi" w:cstheme="minorHAnsi"/>
          <w:sz w:val="22"/>
          <w:szCs w:val="22"/>
        </w:rPr>
        <w:t>.</w:t>
      </w:r>
    </w:p>
    <w:p w:rsidR="007E5BF7" w:rsidRPr="00350CDE" w:rsidRDefault="007E5BF7" w:rsidP="007E5BF7">
      <w:pPr>
        <w:pStyle w:val="Prrafodelista"/>
        <w:spacing w:before="120"/>
        <w:ind w:left="0"/>
        <w:contextualSpacing w:val="0"/>
        <w:jc w:val="both"/>
        <w:rPr>
          <w:rFonts w:asciiTheme="minorHAnsi" w:hAnsiTheme="minorHAnsi" w:cstheme="minorHAnsi"/>
          <w:sz w:val="22"/>
          <w:szCs w:val="22"/>
        </w:rPr>
      </w:pPr>
      <w:r w:rsidRPr="00350CDE">
        <w:rPr>
          <w:rFonts w:asciiTheme="minorHAnsi" w:hAnsiTheme="minorHAnsi" w:cstheme="minorHAnsi"/>
          <w:sz w:val="22"/>
          <w:szCs w:val="22"/>
        </w:rPr>
        <w:t>Esta imposibilidad o prohibición para las Empresas de Servicios de inversión es independiente de:</w:t>
      </w:r>
    </w:p>
    <w:p w:rsidR="007E5BF7" w:rsidRPr="00350CDE" w:rsidRDefault="007E5BF7" w:rsidP="007E5BF7">
      <w:pPr>
        <w:pStyle w:val="Prrafodelista"/>
        <w:numPr>
          <w:ilvl w:val="0"/>
          <w:numId w:val="7"/>
        </w:numPr>
        <w:spacing w:before="120"/>
        <w:contextualSpacing w:val="0"/>
        <w:jc w:val="both"/>
        <w:rPr>
          <w:rFonts w:asciiTheme="minorHAnsi" w:hAnsiTheme="minorHAnsi" w:cstheme="minorHAnsi"/>
          <w:sz w:val="22"/>
          <w:szCs w:val="22"/>
        </w:rPr>
      </w:pPr>
      <w:r w:rsidRPr="00350CDE">
        <w:rPr>
          <w:rFonts w:asciiTheme="minorHAnsi" w:hAnsiTheme="minorHAnsi" w:cstheme="minorHAnsi"/>
          <w:sz w:val="22"/>
          <w:szCs w:val="22"/>
        </w:rPr>
        <w:t>El tamaño de la entidad</w:t>
      </w:r>
      <w:r w:rsidR="00D81F50">
        <w:rPr>
          <w:rFonts w:asciiTheme="minorHAnsi" w:hAnsiTheme="minorHAnsi" w:cstheme="minorHAnsi"/>
          <w:sz w:val="22"/>
          <w:szCs w:val="22"/>
        </w:rPr>
        <w:t xml:space="preserve">: </w:t>
      </w:r>
      <w:r w:rsidRPr="00350CDE">
        <w:rPr>
          <w:rFonts w:asciiTheme="minorHAnsi" w:hAnsiTheme="minorHAnsi" w:cstheme="minorHAnsi"/>
          <w:sz w:val="22"/>
          <w:szCs w:val="22"/>
        </w:rPr>
        <w:t>De hecho puede haber otro tipo de ESI (AV o SGC) que puede tener incluso un tamañ</w:t>
      </w:r>
      <w:r w:rsidR="00D81F50">
        <w:rPr>
          <w:rFonts w:asciiTheme="minorHAnsi" w:hAnsiTheme="minorHAnsi" w:cstheme="minorHAnsi"/>
          <w:sz w:val="22"/>
          <w:szCs w:val="22"/>
        </w:rPr>
        <w:t xml:space="preserve">o </w:t>
      </w:r>
      <w:proofErr w:type="spellStart"/>
      <w:r w:rsidR="00D81F50">
        <w:rPr>
          <w:rFonts w:asciiTheme="minorHAnsi" w:hAnsiTheme="minorHAnsi" w:cstheme="minorHAnsi"/>
          <w:sz w:val="22"/>
          <w:szCs w:val="22"/>
        </w:rPr>
        <w:t>mas</w:t>
      </w:r>
      <w:proofErr w:type="spellEnd"/>
      <w:r w:rsidR="00D81F50">
        <w:rPr>
          <w:rFonts w:asciiTheme="minorHAnsi" w:hAnsiTheme="minorHAnsi" w:cstheme="minorHAnsi"/>
          <w:sz w:val="22"/>
          <w:szCs w:val="22"/>
        </w:rPr>
        <w:t xml:space="preserve"> pequeño que la EAFI y sí</w:t>
      </w:r>
      <w:r w:rsidRPr="00350CDE">
        <w:rPr>
          <w:rFonts w:asciiTheme="minorHAnsi" w:hAnsiTheme="minorHAnsi" w:cstheme="minorHAnsi"/>
          <w:sz w:val="22"/>
          <w:szCs w:val="22"/>
        </w:rPr>
        <w:t xml:space="preserve"> tiene permitido tener agentes</w:t>
      </w:r>
    </w:p>
    <w:p w:rsidR="007E5BF7" w:rsidRPr="00350CDE" w:rsidRDefault="007E5BF7" w:rsidP="007E5BF7">
      <w:pPr>
        <w:pStyle w:val="Prrafodelista"/>
        <w:numPr>
          <w:ilvl w:val="0"/>
          <w:numId w:val="7"/>
        </w:numPr>
        <w:spacing w:before="120"/>
        <w:contextualSpacing w:val="0"/>
        <w:jc w:val="both"/>
        <w:rPr>
          <w:rFonts w:asciiTheme="minorHAnsi" w:hAnsiTheme="minorHAnsi" w:cstheme="minorHAnsi"/>
          <w:sz w:val="22"/>
          <w:szCs w:val="22"/>
        </w:rPr>
      </w:pPr>
      <w:r w:rsidRPr="00350CDE">
        <w:rPr>
          <w:rFonts w:asciiTheme="minorHAnsi" w:hAnsiTheme="minorHAnsi" w:cstheme="minorHAnsi"/>
          <w:sz w:val="22"/>
          <w:szCs w:val="22"/>
        </w:rPr>
        <w:t>La organización interna de la entidad: Ni siquiera para aquellas entidades que tienen la función de auditoría interna independiente (que se les supone un mayor control) les es permitido, mientras que a agencias de valores que asesoren y presten además el servicio de Recepción y transmisión de órdenes, que pueden tener una única unidad de Control, si les es permitido</w:t>
      </w:r>
    </w:p>
    <w:p w:rsidR="007E5BF7" w:rsidRPr="00350CDE" w:rsidRDefault="007E5BF7" w:rsidP="007E5BF7">
      <w:pPr>
        <w:pStyle w:val="Prrafodelista"/>
        <w:numPr>
          <w:ilvl w:val="0"/>
          <w:numId w:val="7"/>
        </w:numPr>
        <w:spacing w:before="120"/>
        <w:contextualSpacing w:val="0"/>
        <w:jc w:val="both"/>
        <w:rPr>
          <w:rFonts w:asciiTheme="minorHAnsi" w:hAnsiTheme="minorHAnsi" w:cstheme="minorHAnsi"/>
          <w:sz w:val="22"/>
          <w:szCs w:val="22"/>
        </w:rPr>
      </w:pPr>
      <w:r w:rsidRPr="00350CDE">
        <w:rPr>
          <w:rFonts w:asciiTheme="minorHAnsi" w:hAnsiTheme="minorHAnsi" w:cstheme="minorHAnsi"/>
          <w:sz w:val="22"/>
          <w:szCs w:val="22"/>
        </w:rPr>
        <w:t>El servicio que presta: Al prestar solo asesoramiento en materia de inversión, el riesgo que conlleva tener agentes es menor, ya que no pueden recibir fondos ni efectivo de los clientes no pueden tramitar órdenes en su nombre.</w:t>
      </w:r>
    </w:p>
    <w:p w:rsidR="00323821" w:rsidRDefault="007E5BF7" w:rsidP="007E5BF7">
      <w:pPr>
        <w:pStyle w:val="Prrafodelista"/>
        <w:spacing w:before="120"/>
        <w:ind w:left="0"/>
        <w:contextualSpacing w:val="0"/>
        <w:jc w:val="both"/>
        <w:rPr>
          <w:rFonts w:asciiTheme="minorHAnsi" w:hAnsiTheme="minorHAnsi" w:cstheme="minorHAnsi"/>
          <w:sz w:val="22"/>
          <w:szCs w:val="22"/>
        </w:rPr>
      </w:pPr>
      <w:r w:rsidRPr="00350CDE">
        <w:rPr>
          <w:rFonts w:asciiTheme="minorHAnsi" w:hAnsiTheme="minorHAnsi" w:cstheme="minorHAnsi"/>
          <w:sz w:val="22"/>
          <w:szCs w:val="22"/>
        </w:rPr>
        <w:lastRenderedPageBreak/>
        <w:t>Por tanto, consideramos que es un</w:t>
      </w:r>
      <w:r w:rsidR="00033DC3">
        <w:rPr>
          <w:rFonts w:asciiTheme="minorHAnsi" w:hAnsiTheme="minorHAnsi" w:cstheme="minorHAnsi"/>
          <w:sz w:val="22"/>
          <w:szCs w:val="22"/>
        </w:rPr>
        <w:t xml:space="preserve">a discriminación para las </w:t>
      </w:r>
      <w:proofErr w:type="spellStart"/>
      <w:r w:rsidR="00033DC3">
        <w:rPr>
          <w:rFonts w:asciiTheme="minorHAnsi" w:hAnsiTheme="minorHAnsi" w:cstheme="minorHAnsi"/>
          <w:sz w:val="22"/>
          <w:szCs w:val="22"/>
        </w:rPr>
        <w:t>EAFIs</w:t>
      </w:r>
      <w:proofErr w:type="spellEnd"/>
      <w:r w:rsidR="00033DC3">
        <w:rPr>
          <w:rFonts w:asciiTheme="minorHAnsi" w:hAnsiTheme="minorHAnsi" w:cstheme="minorHAnsi"/>
          <w:sz w:val="22"/>
          <w:szCs w:val="22"/>
        </w:rPr>
        <w:t>, sin ningún tipo de fundamento, que</w:t>
      </w:r>
      <w:r w:rsidR="00E42320">
        <w:rPr>
          <w:rFonts w:asciiTheme="minorHAnsi" w:hAnsiTheme="minorHAnsi" w:cstheme="minorHAnsi"/>
          <w:sz w:val="22"/>
          <w:szCs w:val="22"/>
        </w:rPr>
        <w:t xml:space="preserve"> por el mero hecho de prestar só</w:t>
      </w:r>
      <w:r w:rsidR="00033DC3">
        <w:rPr>
          <w:rFonts w:asciiTheme="minorHAnsi" w:hAnsiTheme="minorHAnsi" w:cstheme="minorHAnsi"/>
          <w:sz w:val="22"/>
          <w:szCs w:val="22"/>
        </w:rPr>
        <w:t xml:space="preserve">lo el servicio de asesoramiento, </w:t>
      </w:r>
      <w:r w:rsidRPr="00350CDE">
        <w:rPr>
          <w:rFonts w:asciiTheme="minorHAnsi" w:hAnsiTheme="minorHAnsi" w:cstheme="minorHAnsi"/>
          <w:sz w:val="22"/>
          <w:szCs w:val="22"/>
        </w:rPr>
        <w:t>no puedan contar con agentes</w:t>
      </w:r>
      <w:r w:rsidR="00E42320">
        <w:rPr>
          <w:rFonts w:asciiTheme="minorHAnsi" w:hAnsiTheme="minorHAnsi" w:cstheme="minorHAnsi"/>
          <w:sz w:val="22"/>
          <w:szCs w:val="22"/>
        </w:rPr>
        <w:t>. L</w:t>
      </w:r>
      <w:r w:rsidR="00033DC3">
        <w:rPr>
          <w:rFonts w:asciiTheme="minorHAnsi" w:hAnsiTheme="minorHAnsi" w:cstheme="minorHAnsi"/>
          <w:sz w:val="22"/>
          <w:szCs w:val="22"/>
        </w:rPr>
        <w:t xml:space="preserve">a Ley las reconoce </w:t>
      </w:r>
      <w:r w:rsidR="00E42320">
        <w:rPr>
          <w:rFonts w:asciiTheme="minorHAnsi" w:hAnsiTheme="minorHAnsi" w:cstheme="minorHAnsi"/>
          <w:sz w:val="22"/>
          <w:szCs w:val="22"/>
        </w:rPr>
        <w:t xml:space="preserve">a las </w:t>
      </w:r>
      <w:proofErr w:type="spellStart"/>
      <w:r w:rsidR="00E42320">
        <w:rPr>
          <w:rFonts w:asciiTheme="minorHAnsi" w:hAnsiTheme="minorHAnsi" w:cstheme="minorHAnsi"/>
          <w:sz w:val="22"/>
          <w:szCs w:val="22"/>
        </w:rPr>
        <w:t>EAFIs</w:t>
      </w:r>
      <w:proofErr w:type="spellEnd"/>
      <w:r w:rsidR="00E42320">
        <w:rPr>
          <w:rFonts w:asciiTheme="minorHAnsi" w:hAnsiTheme="minorHAnsi" w:cstheme="minorHAnsi"/>
          <w:sz w:val="22"/>
          <w:szCs w:val="22"/>
        </w:rPr>
        <w:t xml:space="preserve"> </w:t>
      </w:r>
      <w:r w:rsidR="00033DC3">
        <w:rPr>
          <w:rFonts w:asciiTheme="minorHAnsi" w:hAnsiTheme="minorHAnsi" w:cstheme="minorHAnsi"/>
          <w:sz w:val="22"/>
          <w:szCs w:val="22"/>
        </w:rPr>
        <w:t xml:space="preserve">como Empresas Servicios de Inversión, y </w:t>
      </w:r>
      <w:r w:rsidR="00E42320">
        <w:rPr>
          <w:rFonts w:asciiTheme="minorHAnsi" w:hAnsiTheme="minorHAnsi" w:cstheme="minorHAnsi"/>
          <w:sz w:val="22"/>
          <w:szCs w:val="22"/>
        </w:rPr>
        <w:t xml:space="preserve">por ello </w:t>
      </w:r>
      <w:r w:rsidR="00033DC3">
        <w:rPr>
          <w:rFonts w:asciiTheme="minorHAnsi" w:hAnsiTheme="minorHAnsi" w:cstheme="minorHAnsi"/>
          <w:sz w:val="22"/>
          <w:szCs w:val="22"/>
        </w:rPr>
        <w:t>deben cumplir los mismos requisitos de autorización y de organización y control, así como el mismo pago de tasas de supervisión</w:t>
      </w:r>
      <w:r w:rsidR="00B76734">
        <w:rPr>
          <w:rFonts w:asciiTheme="minorHAnsi" w:hAnsiTheme="minorHAnsi" w:cstheme="minorHAnsi"/>
          <w:sz w:val="22"/>
          <w:szCs w:val="22"/>
        </w:rPr>
        <w:t xml:space="preserve"> que el resto de ESI</w:t>
      </w:r>
      <w:r w:rsidR="00033DC3">
        <w:rPr>
          <w:rFonts w:asciiTheme="minorHAnsi" w:hAnsiTheme="minorHAnsi" w:cstheme="minorHAnsi"/>
          <w:sz w:val="22"/>
          <w:szCs w:val="22"/>
        </w:rPr>
        <w:t>.</w:t>
      </w:r>
      <w:r w:rsidR="00323821">
        <w:rPr>
          <w:rFonts w:asciiTheme="minorHAnsi" w:hAnsiTheme="minorHAnsi" w:cstheme="minorHAnsi"/>
          <w:sz w:val="22"/>
          <w:szCs w:val="22"/>
        </w:rPr>
        <w:t xml:space="preserve"> </w:t>
      </w:r>
      <w:r w:rsidR="00E42320">
        <w:rPr>
          <w:rFonts w:asciiTheme="minorHAnsi" w:hAnsiTheme="minorHAnsi" w:cstheme="minorHAnsi"/>
          <w:sz w:val="22"/>
          <w:szCs w:val="22"/>
        </w:rPr>
        <w:t xml:space="preserve">   </w:t>
      </w:r>
      <w:r w:rsidR="00C55CC4">
        <w:rPr>
          <w:rFonts w:asciiTheme="minorHAnsi" w:hAnsiTheme="minorHAnsi" w:cstheme="minorHAnsi"/>
          <w:sz w:val="22"/>
          <w:szCs w:val="22"/>
        </w:rPr>
        <w:t xml:space="preserve"> </w:t>
      </w:r>
      <w:r w:rsidR="00033DC3">
        <w:rPr>
          <w:rFonts w:asciiTheme="minorHAnsi" w:hAnsiTheme="minorHAnsi" w:cstheme="minorHAnsi"/>
          <w:sz w:val="22"/>
          <w:szCs w:val="22"/>
        </w:rPr>
        <w:t xml:space="preserve">  </w:t>
      </w:r>
    </w:p>
    <w:p w:rsidR="007E5BF7" w:rsidRPr="00350CDE" w:rsidRDefault="007E5BF7" w:rsidP="007E5BF7">
      <w:pPr>
        <w:pStyle w:val="Prrafodelista"/>
        <w:spacing w:before="120"/>
        <w:ind w:left="0"/>
        <w:contextualSpacing w:val="0"/>
        <w:jc w:val="both"/>
        <w:rPr>
          <w:rFonts w:asciiTheme="minorHAnsi" w:hAnsiTheme="minorHAnsi" w:cstheme="minorHAnsi"/>
          <w:sz w:val="22"/>
          <w:szCs w:val="22"/>
        </w:rPr>
      </w:pPr>
      <w:r w:rsidRPr="00350CDE">
        <w:rPr>
          <w:rFonts w:asciiTheme="minorHAnsi" w:hAnsiTheme="minorHAnsi" w:cstheme="minorHAnsi"/>
          <w:sz w:val="22"/>
          <w:szCs w:val="22"/>
        </w:rPr>
        <w:t xml:space="preserve">Este es uno de los problemas a los que se enfrentan estas entidades. Al ser empresas en general de tamaño muy reducido, no tienen capacidad para contratar personal que les permita captar clientes. Por ello, el tener agentes o comerciales externos, cuyos costes están directamente relacionados con los ingresos que aportan a la entidad, permitiría a estas entidades ser </w:t>
      </w:r>
      <w:proofErr w:type="spellStart"/>
      <w:r w:rsidRPr="00350CDE">
        <w:rPr>
          <w:rFonts w:asciiTheme="minorHAnsi" w:hAnsiTheme="minorHAnsi" w:cstheme="minorHAnsi"/>
          <w:sz w:val="22"/>
          <w:szCs w:val="22"/>
        </w:rPr>
        <w:t>mas</w:t>
      </w:r>
      <w:proofErr w:type="spellEnd"/>
      <w:r w:rsidRPr="00350CDE">
        <w:rPr>
          <w:rFonts w:asciiTheme="minorHAnsi" w:hAnsiTheme="minorHAnsi" w:cstheme="minorHAnsi"/>
          <w:sz w:val="22"/>
          <w:szCs w:val="22"/>
        </w:rPr>
        <w:t xml:space="preserve"> conocidas y crecer.</w:t>
      </w:r>
      <w:r w:rsidR="00E42320">
        <w:rPr>
          <w:rFonts w:asciiTheme="minorHAnsi" w:hAnsiTheme="minorHAnsi" w:cstheme="minorHAnsi"/>
          <w:sz w:val="22"/>
          <w:szCs w:val="22"/>
        </w:rPr>
        <w:t xml:space="preserve"> </w:t>
      </w:r>
    </w:p>
    <w:p w:rsidR="007E5BF7" w:rsidRPr="00340797" w:rsidRDefault="007E5BF7" w:rsidP="00D81F50">
      <w:pPr>
        <w:pStyle w:val="Ttulo2"/>
        <w:rPr>
          <w:rFonts w:asciiTheme="minorHAnsi" w:hAnsiTheme="minorHAnsi" w:cstheme="minorHAnsi"/>
          <w:sz w:val="24"/>
          <w:szCs w:val="24"/>
        </w:rPr>
      </w:pPr>
      <w:bookmarkStart w:id="8" w:name="_Toc493227776"/>
      <w:r>
        <w:rPr>
          <w:rFonts w:asciiTheme="minorHAnsi" w:hAnsiTheme="minorHAnsi" w:cstheme="minorHAnsi"/>
          <w:sz w:val="24"/>
          <w:szCs w:val="24"/>
        </w:rPr>
        <w:t xml:space="preserve">5.  </w:t>
      </w:r>
      <w:r w:rsidRPr="00340797">
        <w:rPr>
          <w:rFonts w:asciiTheme="minorHAnsi" w:hAnsiTheme="minorHAnsi" w:cstheme="minorHAnsi"/>
          <w:sz w:val="24"/>
          <w:szCs w:val="24"/>
        </w:rPr>
        <w:t>Requisitos para ejercer la actividad:</w:t>
      </w:r>
      <w:bookmarkEnd w:id="8"/>
    </w:p>
    <w:p w:rsidR="007E5BF7" w:rsidRPr="00350CDE" w:rsidRDefault="007E5BF7" w:rsidP="007E5BF7">
      <w:pPr>
        <w:spacing w:before="120"/>
        <w:jc w:val="both"/>
        <w:rPr>
          <w:rFonts w:asciiTheme="minorHAnsi" w:hAnsiTheme="minorHAnsi" w:cstheme="minorHAnsi"/>
          <w:sz w:val="22"/>
          <w:szCs w:val="22"/>
        </w:rPr>
      </w:pPr>
      <w:r w:rsidRPr="00350CDE">
        <w:rPr>
          <w:rFonts w:asciiTheme="minorHAnsi" w:hAnsiTheme="minorHAnsi" w:cstheme="minorHAnsi"/>
          <w:sz w:val="22"/>
          <w:szCs w:val="22"/>
        </w:rPr>
        <w:t>El art. 221 del Anteproyecto incorpora nuevos R</w:t>
      </w:r>
      <w:r w:rsidRPr="00350CDE">
        <w:rPr>
          <w:rFonts w:asciiTheme="minorHAnsi" w:hAnsiTheme="minorHAnsi" w:cstheme="minorHAnsi"/>
          <w:sz w:val="22"/>
          <w:szCs w:val="22"/>
          <w:u w:val="single"/>
        </w:rPr>
        <w:t xml:space="preserve">equisitos para ejercer la actividad </w:t>
      </w:r>
      <w:r w:rsidRPr="00350CDE">
        <w:rPr>
          <w:rFonts w:asciiTheme="minorHAnsi" w:hAnsiTheme="minorHAnsi" w:cstheme="minorHAnsi"/>
          <w:sz w:val="22"/>
          <w:szCs w:val="22"/>
        </w:rPr>
        <w:t xml:space="preserve">para empresas de inversión que sean </w:t>
      </w:r>
      <w:r w:rsidRPr="00350CDE">
        <w:rPr>
          <w:rFonts w:asciiTheme="minorHAnsi" w:hAnsiTheme="minorHAnsi" w:cstheme="minorHAnsi"/>
          <w:sz w:val="22"/>
          <w:szCs w:val="22"/>
          <w:u w:val="single"/>
        </w:rPr>
        <w:t>personas físicas o que sean personas jurídicas</w:t>
      </w:r>
      <w:r w:rsidRPr="00350CDE">
        <w:rPr>
          <w:rFonts w:asciiTheme="minorHAnsi" w:hAnsiTheme="minorHAnsi" w:cstheme="minorHAnsi"/>
          <w:sz w:val="22"/>
          <w:szCs w:val="22"/>
        </w:rPr>
        <w:t xml:space="preserve"> administradas por una sola persona física, de acuerdo a lo dispuesto en el artículo 8  del Reglamento delegado (UE)…., de la Comisión de 14.7.2016 por el que se completa la Directiva 2014/65/UE del Parlamento Europeo y del Consejo en lo que respecta a las normas técnicas de regulación sobre la información y los requisitos necesarios para la concesión de autorizaciones a empresas de servicios de inversión. </w:t>
      </w:r>
    </w:p>
    <w:p w:rsidR="007E5BF7" w:rsidRPr="00350CDE" w:rsidRDefault="007E5BF7" w:rsidP="007E5BF7">
      <w:pPr>
        <w:spacing w:before="120"/>
        <w:jc w:val="both"/>
        <w:rPr>
          <w:rFonts w:asciiTheme="minorHAnsi" w:hAnsiTheme="minorHAnsi" w:cstheme="minorHAnsi"/>
          <w:sz w:val="22"/>
          <w:szCs w:val="22"/>
        </w:rPr>
      </w:pPr>
      <w:r w:rsidRPr="00350CDE">
        <w:rPr>
          <w:rFonts w:asciiTheme="minorHAnsi" w:hAnsiTheme="minorHAnsi" w:cstheme="minorHAnsi"/>
          <w:sz w:val="22"/>
          <w:szCs w:val="22"/>
        </w:rPr>
        <w:t>Obliga a las entidades, a facultar o habilitar a otra “</w:t>
      </w:r>
      <w:r w:rsidRPr="00261534">
        <w:rPr>
          <w:rFonts w:asciiTheme="minorHAnsi" w:hAnsiTheme="minorHAnsi" w:cstheme="minorHAnsi"/>
          <w:i/>
          <w:sz w:val="22"/>
          <w:szCs w:val="22"/>
        </w:rPr>
        <w:t>persona para sustituir al administrador inmediatamente y desempeñar todas sus funciones si ésta no está en condiciones de llevarlas a cabo</w:t>
      </w:r>
      <w:r w:rsidRPr="00350CDE">
        <w:rPr>
          <w:rFonts w:asciiTheme="minorHAnsi" w:hAnsiTheme="minorHAnsi" w:cstheme="minorHAnsi"/>
          <w:sz w:val="22"/>
          <w:szCs w:val="22"/>
        </w:rPr>
        <w:t xml:space="preserve">” </w:t>
      </w:r>
    </w:p>
    <w:p w:rsidR="007E5BF7" w:rsidRDefault="007E5BF7" w:rsidP="007E5BF7">
      <w:pPr>
        <w:spacing w:before="120"/>
        <w:jc w:val="both"/>
        <w:rPr>
          <w:rFonts w:asciiTheme="minorHAnsi" w:hAnsiTheme="minorHAnsi" w:cstheme="minorHAnsi"/>
          <w:sz w:val="22"/>
          <w:szCs w:val="22"/>
        </w:rPr>
      </w:pPr>
      <w:r>
        <w:rPr>
          <w:rFonts w:asciiTheme="minorHAnsi" w:hAnsiTheme="minorHAnsi" w:cstheme="minorHAnsi"/>
          <w:sz w:val="22"/>
          <w:szCs w:val="22"/>
        </w:rPr>
        <w:t>No se entiende bien el alcance de este artículo. En el caso de empresas de inversión que sean personas físicas, o en las sociedades unipersonales en las que el socio es además administrador único, deberán facultar a otra persona física para, en su caso sustituirla de forma inmediata. En este sentido, sería necesario precisar:</w:t>
      </w:r>
    </w:p>
    <w:p w:rsidR="007E5BF7" w:rsidRDefault="007E5BF7" w:rsidP="007E5BF7">
      <w:pPr>
        <w:pStyle w:val="Prrafodelista"/>
        <w:numPr>
          <w:ilvl w:val="0"/>
          <w:numId w:val="7"/>
        </w:numPr>
        <w:spacing w:before="120"/>
        <w:jc w:val="both"/>
        <w:rPr>
          <w:rFonts w:asciiTheme="minorHAnsi" w:hAnsiTheme="minorHAnsi" w:cstheme="minorHAnsi"/>
          <w:sz w:val="22"/>
          <w:szCs w:val="22"/>
        </w:rPr>
      </w:pPr>
      <w:r>
        <w:rPr>
          <w:rFonts w:asciiTheme="minorHAnsi" w:hAnsiTheme="minorHAnsi" w:cstheme="minorHAnsi"/>
          <w:sz w:val="22"/>
          <w:szCs w:val="22"/>
        </w:rPr>
        <w:t>E</w:t>
      </w:r>
      <w:r w:rsidRPr="00CE057C">
        <w:rPr>
          <w:rFonts w:asciiTheme="minorHAnsi" w:hAnsiTheme="minorHAnsi" w:cstheme="minorHAnsi"/>
          <w:sz w:val="22"/>
          <w:szCs w:val="22"/>
        </w:rPr>
        <w:t xml:space="preserve">n qué momento la entidad debe designar a ésta persona </w:t>
      </w:r>
      <w:r>
        <w:rPr>
          <w:rFonts w:asciiTheme="minorHAnsi" w:hAnsiTheme="minorHAnsi" w:cstheme="minorHAnsi"/>
          <w:sz w:val="22"/>
          <w:szCs w:val="22"/>
        </w:rPr>
        <w:t>¿en el momento de la autorización de la entidad?</w:t>
      </w:r>
    </w:p>
    <w:p w:rsidR="007E5BF7" w:rsidRDefault="007E5BF7" w:rsidP="007E5BF7">
      <w:pPr>
        <w:pStyle w:val="Prrafodelista"/>
        <w:numPr>
          <w:ilvl w:val="0"/>
          <w:numId w:val="7"/>
        </w:numPr>
        <w:spacing w:before="120"/>
        <w:jc w:val="both"/>
        <w:rPr>
          <w:rFonts w:asciiTheme="minorHAnsi" w:hAnsiTheme="minorHAnsi" w:cstheme="minorHAnsi"/>
          <w:sz w:val="22"/>
          <w:szCs w:val="22"/>
        </w:rPr>
      </w:pPr>
      <w:r>
        <w:rPr>
          <w:rFonts w:asciiTheme="minorHAnsi" w:hAnsiTheme="minorHAnsi" w:cstheme="minorHAnsi"/>
          <w:sz w:val="22"/>
          <w:szCs w:val="22"/>
        </w:rPr>
        <w:t>La persona facultada debe ser autorizada por CNMV. Este proceso tarda un tiempo dado que ha de ser evaluada por CNMV y por tanto no podría sustituir de forma inmediata</w:t>
      </w:r>
    </w:p>
    <w:p w:rsidR="007E5BF7" w:rsidRDefault="007E5BF7" w:rsidP="007E5BF7">
      <w:pPr>
        <w:pStyle w:val="Prrafodelista"/>
        <w:numPr>
          <w:ilvl w:val="0"/>
          <w:numId w:val="7"/>
        </w:numPr>
        <w:spacing w:before="120"/>
        <w:jc w:val="both"/>
        <w:rPr>
          <w:rFonts w:asciiTheme="minorHAnsi" w:hAnsiTheme="minorHAnsi" w:cstheme="minorHAnsi"/>
          <w:sz w:val="22"/>
          <w:szCs w:val="22"/>
        </w:rPr>
      </w:pPr>
      <w:r>
        <w:rPr>
          <w:rFonts w:asciiTheme="minorHAnsi" w:hAnsiTheme="minorHAnsi" w:cstheme="minorHAnsi"/>
          <w:sz w:val="22"/>
          <w:szCs w:val="22"/>
        </w:rPr>
        <w:t>Sería posible que se facultara a una persona que fuera administrador de otra empresa de servicios de inversión o titular de una empresa de asesoramiento financiero persona física, de forma que ya hubiera sido evaluada por CNMV</w:t>
      </w:r>
    </w:p>
    <w:p w:rsidR="008D5C06" w:rsidRPr="008D5C06" w:rsidRDefault="008D5C06" w:rsidP="008D5C06">
      <w:pPr>
        <w:spacing w:before="120"/>
        <w:jc w:val="both"/>
        <w:rPr>
          <w:rFonts w:asciiTheme="minorHAnsi" w:hAnsiTheme="minorHAnsi" w:cstheme="minorHAnsi"/>
          <w:sz w:val="22"/>
          <w:szCs w:val="22"/>
        </w:rPr>
      </w:pPr>
    </w:p>
    <w:p w:rsidR="008D5C06" w:rsidRDefault="008D5C06" w:rsidP="008D5C06">
      <w:pPr>
        <w:pStyle w:val="Ttulo3"/>
        <w:rPr>
          <w:rFonts w:asciiTheme="minorHAnsi" w:hAnsiTheme="minorHAnsi" w:cstheme="minorHAnsi"/>
          <w:sz w:val="24"/>
          <w:szCs w:val="24"/>
        </w:rPr>
      </w:pPr>
      <w:bookmarkStart w:id="9" w:name="_Toc493227780"/>
      <w:bookmarkStart w:id="10" w:name="_Toc493227777"/>
      <w:r>
        <w:rPr>
          <w:rFonts w:asciiTheme="minorHAnsi" w:hAnsiTheme="minorHAnsi" w:cstheme="minorHAnsi"/>
          <w:sz w:val="24"/>
          <w:szCs w:val="24"/>
        </w:rPr>
        <w:t>6</w:t>
      </w:r>
      <w:r w:rsidRPr="00353D79">
        <w:rPr>
          <w:rFonts w:asciiTheme="minorHAnsi" w:hAnsiTheme="minorHAnsi" w:cstheme="minorHAnsi"/>
          <w:sz w:val="24"/>
          <w:szCs w:val="24"/>
        </w:rPr>
        <w:t xml:space="preserve">. </w:t>
      </w:r>
      <w:r>
        <w:rPr>
          <w:rFonts w:asciiTheme="minorHAnsi" w:hAnsiTheme="minorHAnsi" w:cstheme="minorHAnsi"/>
          <w:sz w:val="24"/>
          <w:szCs w:val="24"/>
        </w:rPr>
        <w:t>Asesoramiento</w:t>
      </w:r>
    </w:p>
    <w:p w:rsidR="008D5C06" w:rsidRPr="00353D79" w:rsidRDefault="008D5C06" w:rsidP="008D5C06">
      <w:pPr>
        <w:pStyle w:val="Ttulo3"/>
        <w:rPr>
          <w:rFonts w:asciiTheme="minorHAnsi" w:hAnsiTheme="minorHAnsi" w:cstheme="minorHAnsi"/>
          <w:sz w:val="24"/>
          <w:szCs w:val="24"/>
        </w:rPr>
      </w:pPr>
      <w:r>
        <w:rPr>
          <w:rFonts w:asciiTheme="minorHAnsi" w:hAnsiTheme="minorHAnsi" w:cstheme="minorHAnsi"/>
          <w:sz w:val="24"/>
          <w:szCs w:val="24"/>
        </w:rPr>
        <w:t xml:space="preserve">6.1 </w:t>
      </w:r>
      <w:r w:rsidRPr="00353D79">
        <w:rPr>
          <w:rFonts w:asciiTheme="minorHAnsi" w:hAnsiTheme="minorHAnsi" w:cstheme="minorHAnsi"/>
          <w:sz w:val="24"/>
          <w:szCs w:val="24"/>
        </w:rPr>
        <w:t>Concepto de Asesoramiento recogido en el art 161.1.g del Anteproyecto.</w:t>
      </w:r>
      <w:bookmarkEnd w:id="9"/>
    </w:p>
    <w:p w:rsidR="008D5C06" w:rsidRPr="00350CDE" w:rsidRDefault="008D5C06" w:rsidP="008D5C06">
      <w:pPr>
        <w:spacing w:before="120"/>
        <w:jc w:val="both"/>
        <w:rPr>
          <w:rFonts w:asciiTheme="minorHAnsi" w:hAnsiTheme="minorHAnsi" w:cstheme="minorHAnsi"/>
          <w:sz w:val="22"/>
          <w:szCs w:val="22"/>
        </w:rPr>
      </w:pPr>
      <w:r w:rsidRPr="00350CDE">
        <w:rPr>
          <w:rFonts w:asciiTheme="minorHAnsi" w:hAnsiTheme="minorHAnsi" w:cstheme="minorHAnsi"/>
          <w:sz w:val="22"/>
          <w:szCs w:val="22"/>
        </w:rPr>
        <w:t>Se ha eliminado del artículo de la ley el texto:</w:t>
      </w:r>
    </w:p>
    <w:p w:rsidR="008D5C06" w:rsidRPr="00350CDE" w:rsidRDefault="008D5C06" w:rsidP="008D5C06">
      <w:pPr>
        <w:spacing w:before="120"/>
        <w:ind w:left="567"/>
        <w:jc w:val="both"/>
        <w:rPr>
          <w:rFonts w:asciiTheme="minorHAnsi" w:hAnsiTheme="minorHAnsi" w:cstheme="minorHAnsi"/>
          <w:sz w:val="22"/>
          <w:szCs w:val="22"/>
        </w:rPr>
      </w:pPr>
      <w:r w:rsidRPr="00350CDE">
        <w:rPr>
          <w:rFonts w:asciiTheme="minorHAnsi" w:hAnsiTheme="minorHAnsi" w:cstheme="minorHAnsi"/>
          <w:sz w:val="22"/>
          <w:szCs w:val="22"/>
        </w:rPr>
        <w:t>“No se considerará que constituya asesoramiento, a los efectos de lo previsto en esta letra, las recomendaciones de carácter genérico y no personalizadas que se puedan realizar en el ámbito de la comercialización de valores e instrumentos financieros. Dichas recomendaciones tendrán el valor de comunicaciones de carácter comercial”</w:t>
      </w:r>
    </w:p>
    <w:p w:rsidR="008D5C06" w:rsidRDefault="008D5C06" w:rsidP="008D5C06">
      <w:pPr>
        <w:spacing w:before="120"/>
        <w:ind w:left="567"/>
        <w:jc w:val="both"/>
        <w:rPr>
          <w:rFonts w:asciiTheme="minorHAnsi" w:hAnsiTheme="minorHAnsi" w:cstheme="minorHAnsi"/>
          <w:i/>
          <w:sz w:val="22"/>
          <w:szCs w:val="22"/>
        </w:rPr>
      </w:pPr>
    </w:p>
    <w:p w:rsidR="008D5C06" w:rsidRDefault="008D5C06" w:rsidP="008D5C06">
      <w:pPr>
        <w:spacing w:before="120"/>
        <w:jc w:val="both"/>
        <w:rPr>
          <w:rFonts w:asciiTheme="minorHAnsi" w:hAnsiTheme="minorHAnsi" w:cstheme="minorHAnsi"/>
          <w:i/>
          <w:sz w:val="22"/>
          <w:szCs w:val="22"/>
        </w:rPr>
      </w:pPr>
      <w:r>
        <w:rPr>
          <w:rFonts w:asciiTheme="minorHAnsi" w:hAnsiTheme="minorHAnsi" w:cstheme="minorHAnsi"/>
          <w:sz w:val="22"/>
          <w:szCs w:val="22"/>
        </w:rPr>
        <w:t>Por su parte, el</w:t>
      </w:r>
      <w:r w:rsidRPr="00E47D70">
        <w:rPr>
          <w:rFonts w:asciiTheme="minorHAnsi" w:hAnsiTheme="minorHAnsi" w:cstheme="minorHAnsi"/>
          <w:sz w:val="22"/>
          <w:szCs w:val="22"/>
        </w:rPr>
        <w:t xml:space="preserve"> considerando (14) del Reglamento Delegado (UE) 2017/565 indica</w:t>
      </w:r>
      <w:r w:rsidRPr="001842A7">
        <w:rPr>
          <w:rFonts w:asciiTheme="minorHAnsi" w:hAnsiTheme="minorHAnsi" w:cstheme="minorHAnsi"/>
          <w:i/>
          <w:sz w:val="22"/>
          <w:szCs w:val="22"/>
        </w:rPr>
        <w:t xml:space="preserve"> </w:t>
      </w:r>
    </w:p>
    <w:p w:rsidR="008D5C06" w:rsidRPr="00323821" w:rsidRDefault="008D5C06" w:rsidP="008D5C06">
      <w:pPr>
        <w:spacing w:before="120"/>
        <w:ind w:left="708"/>
        <w:jc w:val="both"/>
        <w:rPr>
          <w:rFonts w:asciiTheme="minorHAnsi" w:hAnsiTheme="minorHAnsi" w:cstheme="minorHAnsi"/>
          <w:i/>
          <w:sz w:val="22"/>
          <w:szCs w:val="22"/>
        </w:rPr>
      </w:pPr>
      <w:r w:rsidRPr="001842A7">
        <w:rPr>
          <w:rFonts w:asciiTheme="minorHAnsi" w:hAnsiTheme="minorHAnsi" w:cstheme="minorHAnsi"/>
          <w:i/>
          <w:sz w:val="22"/>
          <w:szCs w:val="22"/>
        </w:rPr>
        <w:t xml:space="preserve">“En vista del creciente número de intermediarios que ofrecen recomendaciones personalizadas mediante el uso de canales de distribución, procede aclarar que una recomendación emitida, </w:t>
      </w:r>
      <w:r w:rsidRPr="001842A7">
        <w:rPr>
          <w:rFonts w:asciiTheme="minorHAnsi" w:hAnsiTheme="minorHAnsi" w:cstheme="minorHAnsi"/>
          <w:i/>
          <w:sz w:val="22"/>
          <w:szCs w:val="22"/>
        </w:rPr>
        <w:lastRenderedPageBreak/>
        <w:t xml:space="preserve">incluso de manera exclusiva, a través de un canal de distribución, como Internet, podría considerarse una recomendación personalizada. </w:t>
      </w:r>
      <w:r w:rsidRPr="00CE057C">
        <w:rPr>
          <w:rFonts w:asciiTheme="minorHAnsi" w:hAnsiTheme="minorHAnsi" w:cstheme="minorHAnsi"/>
          <w:i/>
          <w:sz w:val="22"/>
          <w:szCs w:val="22"/>
          <w:u w:val="single"/>
        </w:rPr>
        <w:t>Por lo tanto, aquellos casos en los que, por ejemplo, se utiliza la correspondencia por correo electrónico para ofrecer recomendaciones personalizadas a una persona concreta, en lugar de dirigir la información al público en general, pueden equiv</w:t>
      </w:r>
      <w:r w:rsidRPr="00323821">
        <w:rPr>
          <w:rFonts w:asciiTheme="minorHAnsi" w:hAnsiTheme="minorHAnsi" w:cstheme="minorHAnsi"/>
          <w:i/>
          <w:sz w:val="22"/>
          <w:szCs w:val="22"/>
          <w:u w:val="single"/>
        </w:rPr>
        <w:t>aler a asesoramiento en materia de inversión</w:t>
      </w:r>
      <w:r w:rsidRPr="00323821">
        <w:rPr>
          <w:rFonts w:asciiTheme="minorHAnsi" w:hAnsiTheme="minorHAnsi" w:cstheme="minorHAnsi"/>
          <w:i/>
          <w:sz w:val="22"/>
          <w:szCs w:val="22"/>
        </w:rPr>
        <w:t xml:space="preserve">.”. </w:t>
      </w:r>
    </w:p>
    <w:p w:rsidR="008D5C06" w:rsidRPr="00D406E6" w:rsidRDefault="008D5C06" w:rsidP="008D5C06">
      <w:pPr>
        <w:spacing w:before="120"/>
        <w:ind w:left="708"/>
        <w:jc w:val="both"/>
        <w:rPr>
          <w:rFonts w:asciiTheme="minorHAnsi" w:hAnsiTheme="minorHAnsi" w:cstheme="minorHAnsi"/>
          <w:i/>
          <w:sz w:val="22"/>
          <w:szCs w:val="22"/>
        </w:rPr>
      </w:pPr>
      <w:r w:rsidRPr="00D406E6">
        <w:rPr>
          <w:rFonts w:asciiTheme="minorHAnsi" w:hAnsiTheme="minorHAnsi" w:cstheme="minorHAnsi"/>
          <w:i/>
          <w:sz w:val="22"/>
          <w:szCs w:val="22"/>
        </w:rPr>
        <w:t xml:space="preserve">(16) Los actos llevados a cabo por una empresa de servicios de inversión que sean preparatorios para la prestación de un servicio de inversión o la realización de una actividad de inversión deben considerarse parte integrante de dicho servicio o actividad. Esto incluiría, por ejemplo, la </w:t>
      </w:r>
      <w:r w:rsidRPr="00D406E6">
        <w:rPr>
          <w:rFonts w:asciiTheme="minorHAnsi" w:hAnsiTheme="minorHAnsi" w:cstheme="minorHAnsi"/>
          <w:i/>
          <w:sz w:val="22"/>
          <w:szCs w:val="22"/>
          <w:u w:val="single"/>
        </w:rPr>
        <w:t xml:space="preserve">prestación de asesoramiento genérico por parte de </w:t>
      </w:r>
      <w:r w:rsidRPr="00D406E6">
        <w:rPr>
          <w:rFonts w:asciiTheme="minorHAnsi" w:hAnsiTheme="minorHAnsi" w:cstheme="minorHAnsi"/>
          <w:i/>
          <w:sz w:val="22"/>
          <w:szCs w:val="22"/>
        </w:rPr>
        <w:t>una empresa de servicios de inversión a los clientes o posibles clientes antes o en el curso de la prestación de asesoramiento en materia de inversión o de cualquier otro servicio o actividad de inversión.</w:t>
      </w:r>
    </w:p>
    <w:p w:rsidR="008D5C06" w:rsidRDefault="008D5C06" w:rsidP="008D5C06">
      <w:pPr>
        <w:spacing w:before="120"/>
        <w:jc w:val="both"/>
        <w:rPr>
          <w:rFonts w:asciiTheme="minorHAnsi" w:hAnsiTheme="minorHAnsi" w:cstheme="minorHAnsi"/>
          <w:sz w:val="22"/>
          <w:szCs w:val="22"/>
        </w:rPr>
      </w:pPr>
      <w:r w:rsidRPr="00D406E6">
        <w:rPr>
          <w:rFonts w:asciiTheme="minorHAnsi" w:hAnsiTheme="minorHAnsi" w:cstheme="minorHAnsi"/>
          <w:sz w:val="22"/>
          <w:szCs w:val="22"/>
        </w:rPr>
        <w:t xml:space="preserve">Entendemos, de acuerdo con </w:t>
      </w:r>
      <w:r>
        <w:rPr>
          <w:rFonts w:asciiTheme="minorHAnsi" w:hAnsiTheme="minorHAnsi" w:cstheme="minorHAnsi"/>
          <w:sz w:val="22"/>
          <w:szCs w:val="22"/>
        </w:rPr>
        <w:t xml:space="preserve">los </w:t>
      </w:r>
      <w:r w:rsidRPr="00D406E6">
        <w:rPr>
          <w:rFonts w:asciiTheme="minorHAnsi" w:hAnsiTheme="minorHAnsi" w:cstheme="minorHAnsi"/>
          <w:sz w:val="22"/>
          <w:szCs w:val="22"/>
        </w:rPr>
        <w:t>considerando 14</w:t>
      </w:r>
      <w:r>
        <w:rPr>
          <w:rFonts w:asciiTheme="minorHAnsi" w:hAnsiTheme="minorHAnsi" w:cstheme="minorHAnsi"/>
          <w:sz w:val="22"/>
          <w:szCs w:val="22"/>
        </w:rPr>
        <w:t xml:space="preserve"> y 16</w:t>
      </w:r>
      <w:r w:rsidRPr="00D406E6">
        <w:rPr>
          <w:rFonts w:asciiTheme="minorHAnsi" w:hAnsiTheme="minorHAnsi" w:cstheme="minorHAnsi"/>
          <w:sz w:val="22"/>
          <w:szCs w:val="22"/>
        </w:rPr>
        <w:t xml:space="preserve">, todas las comunicaciones a clientes que incluyan recomendaciones </w:t>
      </w:r>
      <w:r>
        <w:rPr>
          <w:rFonts w:asciiTheme="minorHAnsi" w:hAnsiTheme="minorHAnsi" w:cstheme="minorHAnsi"/>
          <w:sz w:val="22"/>
          <w:szCs w:val="22"/>
        </w:rPr>
        <w:t>genéricas</w:t>
      </w:r>
      <w:r w:rsidRPr="00D406E6">
        <w:rPr>
          <w:rFonts w:asciiTheme="minorHAnsi" w:hAnsiTheme="minorHAnsi" w:cstheme="minorHAnsi"/>
          <w:sz w:val="22"/>
          <w:szCs w:val="22"/>
        </w:rPr>
        <w:t>, se consideran “asesoramiento en materia de inversión”</w:t>
      </w:r>
      <w:r>
        <w:rPr>
          <w:rFonts w:asciiTheme="minorHAnsi" w:hAnsiTheme="minorHAnsi" w:cstheme="minorHAnsi"/>
          <w:sz w:val="22"/>
          <w:szCs w:val="22"/>
        </w:rPr>
        <w:t>. Desde el punto de vista de la protección del inversor, es positivo, ya que no existirá confusión entre “comercialización” y “asesoramiento”.</w:t>
      </w:r>
    </w:p>
    <w:p w:rsidR="008D5C06" w:rsidRDefault="008D5C06" w:rsidP="008D5C06">
      <w:pPr>
        <w:spacing w:before="120"/>
        <w:jc w:val="both"/>
        <w:rPr>
          <w:rFonts w:asciiTheme="minorHAnsi" w:hAnsiTheme="minorHAnsi" w:cstheme="minorHAnsi"/>
          <w:sz w:val="22"/>
          <w:szCs w:val="22"/>
        </w:rPr>
      </w:pPr>
      <w:r>
        <w:rPr>
          <w:rFonts w:asciiTheme="minorHAnsi" w:hAnsiTheme="minorHAnsi" w:cstheme="minorHAnsi"/>
          <w:sz w:val="22"/>
          <w:szCs w:val="22"/>
        </w:rPr>
        <w:t xml:space="preserve">En este sentido, sería necesario modificar el art. </w:t>
      </w:r>
      <w:r w:rsidRPr="00D406E6">
        <w:rPr>
          <w:rFonts w:asciiTheme="minorHAnsi" w:hAnsiTheme="minorHAnsi" w:cstheme="minorHAnsi"/>
          <w:sz w:val="22"/>
          <w:szCs w:val="22"/>
        </w:rPr>
        <w:t>5.1.g) del Reglamento</w:t>
      </w:r>
    </w:p>
    <w:p w:rsidR="008D5C06" w:rsidRDefault="008D5C06" w:rsidP="008D5C06">
      <w:pPr>
        <w:spacing w:before="120"/>
        <w:jc w:val="both"/>
        <w:rPr>
          <w:rFonts w:asciiTheme="minorHAnsi" w:hAnsiTheme="minorHAnsi" w:cstheme="minorHAnsi"/>
          <w:sz w:val="22"/>
          <w:szCs w:val="22"/>
        </w:rPr>
      </w:pPr>
    </w:p>
    <w:p w:rsidR="008D5C06" w:rsidRPr="00353D79" w:rsidRDefault="008D5C06" w:rsidP="008D5C06">
      <w:pPr>
        <w:pStyle w:val="Ttulo3"/>
        <w:rPr>
          <w:rFonts w:asciiTheme="minorHAnsi" w:hAnsiTheme="minorHAnsi" w:cstheme="minorHAnsi"/>
          <w:sz w:val="24"/>
          <w:szCs w:val="24"/>
        </w:rPr>
      </w:pPr>
      <w:r>
        <w:rPr>
          <w:rFonts w:asciiTheme="minorHAnsi" w:hAnsiTheme="minorHAnsi" w:cstheme="minorHAnsi"/>
          <w:sz w:val="24"/>
          <w:szCs w:val="24"/>
        </w:rPr>
        <w:t xml:space="preserve">6.2 Deber general de Información (art. </w:t>
      </w:r>
      <w:proofErr w:type="gramStart"/>
      <w:r>
        <w:rPr>
          <w:rFonts w:asciiTheme="minorHAnsi" w:hAnsiTheme="minorHAnsi" w:cstheme="minorHAnsi"/>
          <w:sz w:val="24"/>
          <w:szCs w:val="24"/>
        </w:rPr>
        <w:t>149 )</w:t>
      </w:r>
      <w:proofErr w:type="gramEnd"/>
    </w:p>
    <w:p w:rsidR="008D5C06" w:rsidRPr="00D406E6" w:rsidRDefault="008D5C06" w:rsidP="008D5C06">
      <w:pPr>
        <w:spacing w:before="120"/>
        <w:jc w:val="both"/>
        <w:rPr>
          <w:rFonts w:asciiTheme="minorHAnsi" w:hAnsiTheme="minorHAnsi" w:cstheme="minorHAnsi"/>
          <w:sz w:val="22"/>
          <w:szCs w:val="22"/>
        </w:rPr>
      </w:pPr>
      <w:r>
        <w:rPr>
          <w:rFonts w:asciiTheme="minorHAnsi" w:hAnsiTheme="minorHAnsi" w:cstheme="minorHAnsi"/>
          <w:sz w:val="22"/>
          <w:szCs w:val="22"/>
        </w:rPr>
        <w:t>E</w:t>
      </w:r>
      <w:r w:rsidRPr="008D5C06">
        <w:rPr>
          <w:rFonts w:asciiTheme="minorHAnsi" w:hAnsiTheme="minorHAnsi" w:cstheme="minorHAnsi"/>
          <w:sz w:val="22"/>
          <w:szCs w:val="22"/>
        </w:rPr>
        <w:t xml:space="preserve">n </w:t>
      </w:r>
      <w:r>
        <w:rPr>
          <w:rFonts w:asciiTheme="minorHAnsi" w:hAnsiTheme="minorHAnsi" w:cstheme="minorHAnsi"/>
          <w:sz w:val="22"/>
          <w:szCs w:val="22"/>
        </w:rPr>
        <w:t xml:space="preserve">la prestación del servicio de asesoramiento, </w:t>
      </w:r>
      <w:r w:rsidRPr="008D5C06">
        <w:rPr>
          <w:rFonts w:asciiTheme="minorHAnsi" w:hAnsiTheme="minorHAnsi" w:cstheme="minorHAnsi"/>
          <w:sz w:val="22"/>
          <w:szCs w:val="22"/>
        </w:rPr>
        <w:t xml:space="preserve">es posible que no se cuente </w:t>
      </w:r>
      <w:r>
        <w:rPr>
          <w:rFonts w:asciiTheme="minorHAnsi" w:hAnsiTheme="minorHAnsi" w:cstheme="minorHAnsi"/>
          <w:sz w:val="22"/>
          <w:szCs w:val="22"/>
        </w:rPr>
        <w:t xml:space="preserve">los </w:t>
      </w:r>
      <w:r w:rsidRPr="008D5C06">
        <w:rPr>
          <w:rFonts w:asciiTheme="minorHAnsi" w:hAnsiTheme="minorHAnsi" w:cstheme="minorHAnsi"/>
          <w:sz w:val="22"/>
          <w:szCs w:val="22"/>
        </w:rPr>
        <w:t>con datos relativos a los costes y gastos del instrumento financiero</w:t>
      </w:r>
    </w:p>
    <w:p w:rsidR="007E5BF7" w:rsidRPr="00340797" w:rsidRDefault="008D5C06" w:rsidP="00D81F50">
      <w:pPr>
        <w:pStyle w:val="Ttulo2"/>
        <w:rPr>
          <w:rFonts w:asciiTheme="minorHAnsi" w:hAnsiTheme="minorHAnsi" w:cstheme="minorHAnsi"/>
          <w:sz w:val="24"/>
          <w:szCs w:val="24"/>
        </w:rPr>
      </w:pPr>
      <w:r>
        <w:rPr>
          <w:rFonts w:asciiTheme="minorHAnsi" w:hAnsiTheme="minorHAnsi" w:cstheme="minorHAnsi"/>
          <w:sz w:val="24"/>
          <w:szCs w:val="24"/>
        </w:rPr>
        <w:t>7</w:t>
      </w:r>
      <w:r w:rsidR="00D81F50">
        <w:rPr>
          <w:rFonts w:asciiTheme="minorHAnsi" w:hAnsiTheme="minorHAnsi" w:cstheme="minorHAnsi"/>
          <w:sz w:val="24"/>
          <w:szCs w:val="24"/>
        </w:rPr>
        <w:t>.</w:t>
      </w:r>
      <w:r w:rsidR="007E5BF7" w:rsidRPr="00340797">
        <w:rPr>
          <w:rFonts w:asciiTheme="minorHAnsi" w:hAnsiTheme="minorHAnsi" w:cstheme="minorHAnsi"/>
          <w:sz w:val="24"/>
          <w:szCs w:val="24"/>
        </w:rPr>
        <w:tab/>
        <w:t>Asesoramiento Independiente</w:t>
      </w:r>
      <w:bookmarkEnd w:id="10"/>
      <w:r w:rsidR="007E5BF7" w:rsidRPr="00340797">
        <w:rPr>
          <w:rFonts w:asciiTheme="minorHAnsi" w:hAnsiTheme="minorHAnsi" w:cstheme="minorHAnsi"/>
          <w:sz w:val="24"/>
          <w:szCs w:val="24"/>
        </w:rPr>
        <w:t xml:space="preserve"> </w:t>
      </w:r>
    </w:p>
    <w:p w:rsidR="007E5BF7" w:rsidRPr="00340797" w:rsidRDefault="008D5C06" w:rsidP="00D81F50">
      <w:pPr>
        <w:pStyle w:val="Ttulo3"/>
        <w:rPr>
          <w:rFonts w:asciiTheme="minorHAnsi" w:hAnsiTheme="minorHAnsi" w:cstheme="minorHAnsi"/>
          <w:sz w:val="24"/>
          <w:szCs w:val="24"/>
        </w:rPr>
      </w:pPr>
      <w:bookmarkStart w:id="11" w:name="_Toc493227778"/>
      <w:r>
        <w:rPr>
          <w:rFonts w:asciiTheme="minorHAnsi" w:hAnsiTheme="minorHAnsi" w:cstheme="minorHAnsi"/>
          <w:sz w:val="24"/>
          <w:szCs w:val="24"/>
        </w:rPr>
        <w:t>7</w:t>
      </w:r>
      <w:r w:rsidR="007E5BF7" w:rsidRPr="00340797">
        <w:rPr>
          <w:rFonts w:asciiTheme="minorHAnsi" w:hAnsiTheme="minorHAnsi" w:cstheme="minorHAnsi"/>
          <w:sz w:val="24"/>
          <w:szCs w:val="24"/>
        </w:rPr>
        <w:t>.1. Evaluar una gama suficiente de instrumentos financieros</w:t>
      </w:r>
      <w:bookmarkEnd w:id="11"/>
      <w:r w:rsidR="007E5BF7" w:rsidRPr="00340797">
        <w:rPr>
          <w:rFonts w:asciiTheme="minorHAnsi" w:hAnsiTheme="minorHAnsi" w:cstheme="minorHAnsi"/>
          <w:sz w:val="24"/>
          <w:szCs w:val="24"/>
        </w:rPr>
        <w:t xml:space="preserve"> </w:t>
      </w:r>
    </w:p>
    <w:p w:rsidR="007E5BF7" w:rsidRPr="00350CDE" w:rsidRDefault="007E5BF7" w:rsidP="007E5BF7">
      <w:pPr>
        <w:spacing w:before="120"/>
        <w:jc w:val="both"/>
        <w:rPr>
          <w:rFonts w:asciiTheme="minorHAnsi" w:hAnsiTheme="minorHAnsi" w:cstheme="minorHAnsi"/>
          <w:color w:val="000000" w:themeColor="text1"/>
          <w:sz w:val="22"/>
          <w:szCs w:val="22"/>
        </w:rPr>
      </w:pPr>
      <w:r w:rsidRPr="00350CDE">
        <w:rPr>
          <w:rFonts w:asciiTheme="minorHAnsi" w:hAnsiTheme="minorHAnsi" w:cstheme="minorHAnsi"/>
          <w:sz w:val="22"/>
          <w:szCs w:val="22"/>
        </w:rPr>
        <w:t xml:space="preserve">Según el art 262 del </w:t>
      </w:r>
      <w:r>
        <w:rPr>
          <w:rFonts w:asciiTheme="minorHAnsi" w:hAnsiTheme="minorHAnsi" w:cstheme="minorHAnsi"/>
          <w:sz w:val="22"/>
          <w:szCs w:val="22"/>
        </w:rPr>
        <w:t>A</w:t>
      </w:r>
      <w:r w:rsidRPr="00350CDE">
        <w:rPr>
          <w:rFonts w:asciiTheme="minorHAnsi" w:hAnsiTheme="minorHAnsi" w:cstheme="minorHAnsi"/>
          <w:sz w:val="22"/>
          <w:szCs w:val="22"/>
        </w:rPr>
        <w:t xml:space="preserve">nteproyecto, </w:t>
      </w:r>
      <w:r>
        <w:rPr>
          <w:rFonts w:asciiTheme="minorHAnsi" w:hAnsiTheme="minorHAnsi" w:cstheme="minorHAnsi"/>
          <w:sz w:val="22"/>
          <w:szCs w:val="22"/>
        </w:rPr>
        <w:t xml:space="preserve">las entidades </w:t>
      </w:r>
      <w:r w:rsidRPr="005767C7">
        <w:rPr>
          <w:rFonts w:asciiTheme="minorHAnsi" w:hAnsiTheme="minorHAnsi" w:cstheme="minorHAnsi"/>
          <w:sz w:val="22"/>
          <w:szCs w:val="22"/>
        </w:rPr>
        <w:t>que prestan el servicio de asesoramiento en materia de inversión de forma independiente</w:t>
      </w:r>
      <w:r>
        <w:rPr>
          <w:rFonts w:asciiTheme="minorHAnsi" w:hAnsiTheme="minorHAnsi" w:cstheme="minorHAnsi"/>
          <w:sz w:val="22"/>
          <w:szCs w:val="22"/>
        </w:rPr>
        <w:t xml:space="preserve"> deben </w:t>
      </w:r>
      <w:r w:rsidRPr="00E47D70">
        <w:rPr>
          <w:rFonts w:asciiTheme="minorHAnsi" w:hAnsiTheme="minorHAnsi" w:cstheme="minorHAnsi"/>
          <w:sz w:val="22"/>
          <w:szCs w:val="22"/>
        </w:rPr>
        <w:t>evaluar una gama suficiente de instrumentos financieros</w:t>
      </w:r>
      <w:r>
        <w:rPr>
          <w:rFonts w:asciiTheme="minorHAnsi" w:hAnsiTheme="minorHAnsi" w:cstheme="minorHAnsi"/>
          <w:sz w:val="22"/>
          <w:szCs w:val="22"/>
        </w:rPr>
        <w:t xml:space="preserve"> </w:t>
      </w:r>
      <w:r w:rsidRPr="00350CDE">
        <w:rPr>
          <w:rFonts w:asciiTheme="minorHAnsi" w:hAnsiTheme="minorHAnsi" w:cstheme="minorHAnsi"/>
          <w:color w:val="000000" w:themeColor="text1"/>
          <w:sz w:val="22"/>
          <w:szCs w:val="22"/>
        </w:rPr>
        <w:t xml:space="preserve">disponibles en el mercado que sea suficientemente diversificada en cuanto a tipos o emisores y no se limiten a instrumentos financieros emitidos o facilitados por la propia ESI o entidades con vínculos a ella. </w:t>
      </w:r>
    </w:p>
    <w:p w:rsidR="007E5BF7" w:rsidRPr="00350CDE" w:rsidRDefault="007E5BF7" w:rsidP="007E5BF7">
      <w:pPr>
        <w:spacing w:before="120"/>
        <w:jc w:val="both"/>
        <w:rPr>
          <w:rFonts w:asciiTheme="minorHAnsi" w:hAnsiTheme="minorHAnsi" w:cstheme="minorHAnsi"/>
          <w:color w:val="000000" w:themeColor="text1"/>
          <w:sz w:val="22"/>
          <w:szCs w:val="22"/>
        </w:rPr>
      </w:pPr>
      <w:r w:rsidRPr="00350CDE">
        <w:rPr>
          <w:rFonts w:asciiTheme="minorHAnsi" w:hAnsiTheme="minorHAnsi" w:cstheme="minorHAnsi"/>
          <w:color w:val="000000" w:themeColor="text1"/>
          <w:sz w:val="22"/>
          <w:szCs w:val="22"/>
        </w:rPr>
        <w:t>Así mismo el art. 53 del Reglamento Delegado 2017/565 establece que la “</w:t>
      </w:r>
      <w:r w:rsidRPr="00261534">
        <w:rPr>
          <w:rFonts w:asciiTheme="minorHAnsi" w:hAnsiTheme="minorHAnsi" w:cstheme="minorHAnsi"/>
          <w:i/>
          <w:color w:val="000000" w:themeColor="text1"/>
          <w:sz w:val="22"/>
          <w:szCs w:val="22"/>
        </w:rPr>
        <w:t>la cantidad de los instrumentos financieros emitidos por la propia empresa de servicios de inversión o por entidades estrechamente vinculadas a ella será proporcionada a la cantidad total de instrumentos financieros considerados</w:t>
      </w:r>
      <w:r w:rsidRPr="00350CDE">
        <w:rPr>
          <w:rFonts w:asciiTheme="minorHAnsi" w:hAnsiTheme="minorHAnsi" w:cstheme="minorHAnsi"/>
          <w:color w:val="000000" w:themeColor="text1"/>
          <w:sz w:val="22"/>
          <w:szCs w:val="22"/>
        </w:rPr>
        <w:t>”</w:t>
      </w:r>
    </w:p>
    <w:p w:rsidR="007E5BF7" w:rsidRPr="00350CDE" w:rsidRDefault="007E5BF7" w:rsidP="007E5BF7">
      <w:pPr>
        <w:spacing w:before="120"/>
        <w:jc w:val="both"/>
        <w:rPr>
          <w:rFonts w:asciiTheme="minorHAnsi" w:hAnsiTheme="minorHAnsi" w:cstheme="minorHAnsi"/>
          <w:color w:val="000000" w:themeColor="text1"/>
          <w:sz w:val="22"/>
          <w:szCs w:val="22"/>
        </w:rPr>
      </w:pPr>
      <w:r w:rsidRPr="00350CDE">
        <w:rPr>
          <w:rFonts w:asciiTheme="minorHAnsi" w:hAnsiTheme="minorHAnsi" w:cstheme="minorHAnsi"/>
          <w:color w:val="000000" w:themeColor="text1"/>
          <w:sz w:val="22"/>
          <w:szCs w:val="22"/>
        </w:rPr>
        <w:t xml:space="preserve"> Entendemos que se deja bastante discrecionalidad en cuanto al asesoramiento de instrumentos emitidos por entidades con los que existe alguna vinculación, dado que el término, “será proporcionada” es muy vago. </w:t>
      </w:r>
    </w:p>
    <w:p w:rsidR="007E5BF7" w:rsidRDefault="007E5BF7" w:rsidP="007E5BF7">
      <w:pPr>
        <w:spacing w:before="120"/>
        <w:jc w:val="both"/>
        <w:rPr>
          <w:rFonts w:asciiTheme="minorHAnsi" w:hAnsiTheme="minorHAnsi" w:cstheme="minorHAnsi"/>
          <w:color w:val="000000" w:themeColor="text1"/>
          <w:sz w:val="22"/>
          <w:szCs w:val="22"/>
        </w:rPr>
      </w:pPr>
      <w:r w:rsidRPr="00350CDE">
        <w:rPr>
          <w:rFonts w:asciiTheme="minorHAnsi" w:hAnsiTheme="minorHAnsi" w:cstheme="minorHAnsi"/>
          <w:color w:val="000000" w:themeColor="text1"/>
          <w:sz w:val="22"/>
          <w:szCs w:val="22"/>
        </w:rPr>
        <w:t>Considera</w:t>
      </w:r>
      <w:r>
        <w:rPr>
          <w:rFonts w:asciiTheme="minorHAnsi" w:hAnsiTheme="minorHAnsi" w:cstheme="minorHAnsi"/>
          <w:color w:val="000000" w:themeColor="text1"/>
          <w:sz w:val="22"/>
          <w:szCs w:val="22"/>
        </w:rPr>
        <w:t>m</w:t>
      </w:r>
      <w:r w:rsidRPr="00350CDE">
        <w:rPr>
          <w:rFonts w:asciiTheme="minorHAnsi" w:hAnsiTheme="minorHAnsi" w:cstheme="minorHAnsi"/>
          <w:color w:val="000000" w:themeColor="text1"/>
          <w:sz w:val="22"/>
          <w:szCs w:val="22"/>
        </w:rPr>
        <w:t>os que sería necesario que este concepto se desarrollara más al menos en una Guía Técnica de la CNMV.</w:t>
      </w:r>
    </w:p>
    <w:p w:rsidR="007E5BF7" w:rsidRPr="00340797" w:rsidRDefault="008D5C06" w:rsidP="00D81F50">
      <w:pPr>
        <w:pStyle w:val="Ttulo3"/>
        <w:rPr>
          <w:rFonts w:asciiTheme="minorHAnsi" w:hAnsiTheme="minorHAnsi" w:cstheme="minorHAnsi"/>
          <w:sz w:val="24"/>
          <w:szCs w:val="24"/>
        </w:rPr>
      </w:pPr>
      <w:bookmarkStart w:id="12" w:name="_Toc493227779"/>
      <w:r>
        <w:rPr>
          <w:rFonts w:asciiTheme="minorHAnsi" w:hAnsiTheme="minorHAnsi" w:cstheme="minorHAnsi"/>
          <w:sz w:val="24"/>
          <w:szCs w:val="24"/>
        </w:rPr>
        <w:t>7</w:t>
      </w:r>
      <w:r w:rsidR="007E5BF7" w:rsidRPr="00340797">
        <w:rPr>
          <w:rFonts w:asciiTheme="minorHAnsi" w:hAnsiTheme="minorHAnsi" w:cstheme="minorHAnsi"/>
          <w:sz w:val="24"/>
          <w:szCs w:val="24"/>
        </w:rPr>
        <w:t>.</w:t>
      </w:r>
      <w:r>
        <w:rPr>
          <w:rFonts w:asciiTheme="minorHAnsi" w:hAnsiTheme="minorHAnsi" w:cstheme="minorHAnsi"/>
          <w:sz w:val="24"/>
          <w:szCs w:val="24"/>
        </w:rPr>
        <w:t>2</w:t>
      </w:r>
      <w:r w:rsidR="007E5BF7" w:rsidRPr="00340797">
        <w:rPr>
          <w:rFonts w:asciiTheme="minorHAnsi" w:hAnsiTheme="minorHAnsi" w:cstheme="minorHAnsi"/>
          <w:sz w:val="24"/>
          <w:szCs w:val="24"/>
        </w:rPr>
        <w:t>. Incentivos:</w:t>
      </w:r>
      <w:bookmarkEnd w:id="12"/>
    </w:p>
    <w:p w:rsidR="007E5BF7" w:rsidRPr="00350CDE" w:rsidRDefault="007E5BF7" w:rsidP="007E5BF7">
      <w:pPr>
        <w:spacing w:before="1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w:t>
      </w:r>
      <w:r w:rsidRPr="00350CDE">
        <w:rPr>
          <w:rFonts w:asciiTheme="minorHAnsi" w:hAnsiTheme="minorHAnsi" w:cstheme="minorHAnsi"/>
          <w:color w:val="000000" w:themeColor="text1"/>
          <w:sz w:val="22"/>
          <w:szCs w:val="22"/>
        </w:rPr>
        <w:t>l art. 262.1.b) del anteproyecto establece que</w:t>
      </w:r>
      <w:r>
        <w:rPr>
          <w:rFonts w:asciiTheme="minorHAnsi" w:hAnsiTheme="minorHAnsi" w:cstheme="minorHAnsi"/>
          <w:color w:val="000000" w:themeColor="text1"/>
          <w:sz w:val="22"/>
          <w:szCs w:val="22"/>
        </w:rPr>
        <w:t>,</w:t>
      </w:r>
      <w:r w:rsidRPr="00350CDE">
        <w:rPr>
          <w:rFonts w:asciiTheme="minorHAnsi" w:hAnsiTheme="minorHAnsi" w:cstheme="minorHAnsi"/>
          <w:color w:val="000000" w:themeColor="text1"/>
          <w:sz w:val="22"/>
          <w:szCs w:val="22"/>
        </w:rPr>
        <w:t xml:space="preserve"> en </w:t>
      </w:r>
      <w:r>
        <w:rPr>
          <w:rFonts w:asciiTheme="minorHAnsi" w:hAnsiTheme="minorHAnsi" w:cstheme="minorHAnsi"/>
          <w:color w:val="000000" w:themeColor="text1"/>
          <w:sz w:val="22"/>
          <w:szCs w:val="22"/>
        </w:rPr>
        <w:t xml:space="preserve">el </w:t>
      </w:r>
      <w:r w:rsidRPr="00350CDE">
        <w:rPr>
          <w:rFonts w:asciiTheme="minorHAnsi" w:hAnsiTheme="minorHAnsi" w:cstheme="minorHAnsi"/>
          <w:color w:val="000000" w:themeColor="text1"/>
          <w:sz w:val="22"/>
          <w:szCs w:val="22"/>
        </w:rPr>
        <w:t xml:space="preserve">asesoramiento Independiente no se podrán aceptar </w:t>
      </w:r>
      <w:r w:rsidRPr="005767C7">
        <w:rPr>
          <w:rFonts w:asciiTheme="minorHAnsi" w:hAnsiTheme="minorHAnsi" w:cstheme="minorHAnsi"/>
          <w:color w:val="000000" w:themeColor="text1"/>
          <w:sz w:val="22"/>
          <w:szCs w:val="22"/>
          <w:u w:val="single"/>
        </w:rPr>
        <w:t>ni</w:t>
      </w:r>
      <w:r w:rsidRPr="00350CDE">
        <w:rPr>
          <w:rFonts w:asciiTheme="minorHAnsi" w:hAnsiTheme="minorHAnsi" w:cstheme="minorHAnsi"/>
          <w:color w:val="000000" w:themeColor="text1"/>
          <w:sz w:val="22"/>
          <w:szCs w:val="22"/>
        </w:rPr>
        <w:t xml:space="preserve"> retener honorarios, comisiones u otros beneficios monetarios o no monetarios. Es decir no se pueden aceptar ni retener.</w:t>
      </w:r>
    </w:p>
    <w:p w:rsidR="007E5BF7" w:rsidRPr="00350CDE" w:rsidRDefault="007E5BF7" w:rsidP="007E5BF7">
      <w:pPr>
        <w:spacing w:before="120"/>
        <w:jc w:val="both"/>
        <w:rPr>
          <w:rFonts w:asciiTheme="minorHAnsi" w:hAnsiTheme="minorHAnsi" w:cstheme="minorHAnsi"/>
          <w:color w:val="000000" w:themeColor="text1"/>
          <w:sz w:val="22"/>
          <w:szCs w:val="22"/>
        </w:rPr>
      </w:pPr>
      <w:r w:rsidRPr="00350CDE">
        <w:rPr>
          <w:rFonts w:asciiTheme="minorHAnsi" w:hAnsiTheme="minorHAnsi" w:cstheme="minorHAnsi"/>
          <w:color w:val="000000" w:themeColor="text1"/>
          <w:sz w:val="22"/>
          <w:szCs w:val="22"/>
        </w:rPr>
        <w:lastRenderedPageBreak/>
        <w:t xml:space="preserve">El art. 59 del Reglamento, indica que </w:t>
      </w:r>
      <w:r>
        <w:rPr>
          <w:rFonts w:asciiTheme="minorHAnsi" w:hAnsiTheme="minorHAnsi" w:cstheme="minorHAnsi"/>
          <w:color w:val="000000" w:themeColor="text1"/>
          <w:sz w:val="22"/>
          <w:szCs w:val="22"/>
        </w:rPr>
        <w:t>“</w:t>
      </w:r>
      <w:r w:rsidRPr="00350CDE">
        <w:rPr>
          <w:rFonts w:asciiTheme="minorHAnsi" w:hAnsiTheme="minorHAnsi" w:cstheme="minorHAnsi"/>
          <w:color w:val="000000" w:themeColor="text1"/>
          <w:sz w:val="22"/>
          <w:szCs w:val="22"/>
        </w:rPr>
        <w:t>Todos los honorarios, comisiones o beneficios monetarios percibidos de terceros en relación con la prestación de asesoramiento independiente sobre inversiones y servicios de gestión de carteras se transferirán en su totalidad al cliente.</w:t>
      </w:r>
      <w:r>
        <w:rPr>
          <w:rFonts w:asciiTheme="minorHAnsi" w:hAnsiTheme="minorHAnsi" w:cstheme="minorHAnsi"/>
          <w:color w:val="000000" w:themeColor="text1"/>
          <w:sz w:val="22"/>
          <w:szCs w:val="22"/>
        </w:rPr>
        <w:t>”</w:t>
      </w:r>
    </w:p>
    <w:p w:rsidR="007E5BF7" w:rsidRPr="00350CDE" w:rsidRDefault="007E5BF7" w:rsidP="007E5BF7">
      <w:pPr>
        <w:spacing w:before="120"/>
        <w:jc w:val="both"/>
        <w:rPr>
          <w:rFonts w:asciiTheme="minorHAnsi" w:hAnsiTheme="minorHAnsi" w:cstheme="minorHAnsi"/>
          <w:color w:val="000000" w:themeColor="text1"/>
          <w:sz w:val="22"/>
          <w:szCs w:val="22"/>
        </w:rPr>
      </w:pPr>
      <w:r w:rsidRPr="00350CDE">
        <w:rPr>
          <w:rFonts w:asciiTheme="minorHAnsi" w:hAnsiTheme="minorHAnsi" w:cstheme="minorHAnsi"/>
          <w:color w:val="000000" w:themeColor="text1"/>
          <w:sz w:val="22"/>
          <w:szCs w:val="22"/>
        </w:rPr>
        <w:t xml:space="preserve">Por tanto entendemos que en el </w:t>
      </w:r>
      <w:r w:rsidR="002E774B">
        <w:rPr>
          <w:rFonts w:asciiTheme="minorHAnsi" w:hAnsiTheme="minorHAnsi" w:cstheme="minorHAnsi"/>
          <w:color w:val="000000" w:themeColor="text1"/>
          <w:sz w:val="22"/>
          <w:szCs w:val="22"/>
        </w:rPr>
        <w:t>art, 262 1 b) debería indicar “</w:t>
      </w:r>
      <w:r w:rsidRPr="00350CDE">
        <w:rPr>
          <w:rFonts w:asciiTheme="minorHAnsi" w:hAnsiTheme="minorHAnsi" w:cstheme="minorHAnsi"/>
          <w:color w:val="000000" w:themeColor="text1"/>
          <w:sz w:val="22"/>
          <w:szCs w:val="22"/>
        </w:rPr>
        <w:t xml:space="preserve">no se podrá aceptar </w:t>
      </w:r>
      <w:r w:rsidRPr="005767C7">
        <w:rPr>
          <w:rFonts w:asciiTheme="minorHAnsi" w:hAnsiTheme="minorHAnsi" w:cstheme="minorHAnsi"/>
          <w:color w:val="000000" w:themeColor="text1"/>
          <w:sz w:val="22"/>
          <w:szCs w:val="22"/>
          <w:u w:val="single"/>
        </w:rPr>
        <w:t>y</w:t>
      </w:r>
      <w:r w:rsidRPr="00350CDE">
        <w:rPr>
          <w:rFonts w:asciiTheme="minorHAnsi" w:hAnsiTheme="minorHAnsi" w:cstheme="minorHAnsi"/>
          <w:color w:val="000000" w:themeColor="text1"/>
          <w:sz w:val="22"/>
          <w:szCs w:val="22"/>
        </w:rPr>
        <w:t xml:space="preserve"> retener”</w:t>
      </w:r>
    </w:p>
    <w:p w:rsidR="00762F8F" w:rsidRPr="00340797" w:rsidRDefault="008D5C06" w:rsidP="00762F8F">
      <w:pPr>
        <w:pStyle w:val="Ttulo3"/>
        <w:rPr>
          <w:rFonts w:asciiTheme="minorHAnsi" w:hAnsiTheme="minorHAnsi" w:cstheme="minorHAnsi"/>
          <w:sz w:val="24"/>
          <w:szCs w:val="24"/>
        </w:rPr>
      </w:pPr>
      <w:r>
        <w:rPr>
          <w:rFonts w:asciiTheme="minorHAnsi" w:hAnsiTheme="minorHAnsi" w:cstheme="minorHAnsi"/>
          <w:sz w:val="24"/>
          <w:szCs w:val="24"/>
        </w:rPr>
        <w:t>7</w:t>
      </w:r>
      <w:r w:rsidR="00762F8F" w:rsidRPr="00340797">
        <w:rPr>
          <w:rFonts w:asciiTheme="minorHAnsi" w:hAnsiTheme="minorHAnsi" w:cstheme="minorHAnsi"/>
          <w:sz w:val="24"/>
          <w:szCs w:val="24"/>
        </w:rPr>
        <w:t>.</w:t>
      </w:r>
      <w:r>
        <w:rPr>
          <w:rFonts w:asciiTheme="minorHAnsi" w:hAnsiTheme="minorHAnsi" w:cstheme="minorHAnsi"/>
          <w:sz w:val="24"/>
          <w:szCs w:val="24"/>
        </w:rPr>
        <w:t>3</w:t>
      </w:r>
      <w:r w:rsidR="00762F8F" w:rsidRPr="00340797">
        <w:rPr>
          <w:rFonts w:asciiTheme="minorHAnsi" w:hAnsiTheme="minorHAnsi" w:cstheme="minorHAnsi"/>
          <w:sz w:val="24"/>
          <w:szCs w:val="24"/>
        </w:rPr>
        <w:t>. Incentivos</w:t>
      </w:r>
      <w:r w:rsidR="00762F8F">
        <w:rPr>
          <w:rFonts w:asciiTheme="minorHAnsi" w:hAnsiTheme="minorHAnsi" w:cstheme="minorHAnsi"/>
          <w:sz w:val="24"/>
          <w:szCs w:val="24"/>
        </w:rPr>
        <w:t xml:space="preserve"> contrapartes elegibles</w:t>
      </w:r>
    </w:p>
    <w:p w:rsidR="00762F8F" w:rsidRPr="00762F8F" w:rsidRDefault="00762F8F" w:rsidP="00762F8F">
      <w:pPr>
        <w:spacing w:before="120"/>
        <w:jc w:val="both"/>
        <w:rPr>
          <w:rFonts w:asciiTheme="minorHAnsi" w:hAnsiTheme="minorHAnsi" w:cstheme="minorHAnsi"/>
          <w:color w:val="000000" w:themeColor="text1"/>
          <w:sz w:val="22"/>
          <w:szCs w:val="22"/>
        </w:rPr>
      </w:pPr>
      <w:r w:rsidRPr="00762F8F">
        <w:rPr>
          <w:rFonts w:asciiTheme="minorHAnsi" w:hAnsiTheme="minorHAnsi" w:cstheme="minorHAnsi"/>
          <w:color w:val="000000" w:themeColor="text1"/>
          <w:sz w:val="22"/>
          <w:szCs w:val="22"/>
        </w:rPr>
        <w:t>La ex</w:t>
      </w:r>
      <w:r>
        <w:rPr>
          <w:rFonts w:asciiTheme="minorHAnsi" w:hAnsiTheme="minorHAnsi" w:cstheme="minorHAnsi"/>
          <w:color w:val="000000" w:themeColor="text1"/>
          <w:sz w:val="22"/>
          <w:szCs w:val="22"/>
        </w:rPr>
        <w:t>c</w:t>
      </w:r>
      <w:r w:rsidRPr="00762F8F">
        <w:rPr>
          <w:rFonts w:asciiTheme="minorHAnsi" w:hAnsiTheme="minorHAnsi" w:cstheme="minorHAnsi"/>
          <w:color w:val="000000" w:themeColor="text1"/>
          <w:sz w:val="22"/>
          <w:szCs w:val="22"/>
        </w:rPr>
        <w:t>lusión prevista en el art. 30.1 en relación con el 24.9 de la Directiva no está incluida en el Anteproyecto, que establece que con las contrapartes elegibles no se tiene necesidad de cumplir con el artículo 264 Percepci</w:t>
      </w:r>
      <w:r>
        <w:rPr>
          <w:rFonts w:asciiTheme="minorHAnsi" w:hAnsiTheme="minorHAnsi" w:cstheme="minorHAnsi"/>
          <w:color w:val="000000" w:themeColor="text1"/>
          <w:sz w:val="22"/>
          <w:szCs w:val="22"/>
        </w:rPr>
        <w:t>ó</w:t>
      </w:r>
      <w:r w:rsidRPr="00762F8F">
        <w:rPr>
          <w:rFonts w:asciiTheme="minorHAnsi" w:hAnsiTheme="minorHAnsi" w:cstheme="minorHAnsi"/>
          <w:color w:val="000000" w:themeColor="text1"/>
          <w:sz w:val="22"/>
          <w:szCs w:val="22"/>
        </w:rPr>
        <w:t>n de Incentivos del Anteproyecto</w:t>
      </w:r>
    </w:p>
    <w:p w:rsidR="009364BC" w:rsidRPr="00353D79" w:rsidRDefault="00D81F50" w:rsidP="007E5BF7">
      <w:pPr>
        <w:pStyle w:val="Ttulo3"/>
        <w:rPr>
          <w:rFonts w:asciiTheme="minorHAnsi" w:hAnsiTheme="minorHAnsi" w:cstheme="minorHAnsi"/>
          <w:sz w:val="24"/>
          <w:szCs w:val="24"/>
        </w:rPr>
      </w:pPr>
      <w:bookmarkStart w:id="13" w:name="_Toc493227781"/>
      <w:r>
        <w:rPr>
          <w:rFonts w:asciiTheme="minorHAnsi" w:hAnsiTheme="minorHAnsi" w:cstheme="minorHAnsi"/>
          <w:sz w:val="24"/>
          <w:szCs w:val="24"/>
        </w:rPr>
        <w:t>8</w:t>
      </w:r>
      <w:r w:rsidR="00BD2558" w:rsidRPr="00353D79">
        <w:rPr>
          <w:rFonts w:asciiTheme="minorHAnsi" w:hAnsiTheme="minorHAnsi" w:cstheme="minorHAnsi"/>
          <w:sz w:val="24"/>
          <w:szCs w:val="24"/>
        </w:rPr>
        <w:t>.</w:t>
      </w:r>
      <w:r w:rsidR="009364BC" w:rsidRPr="00353D79">
        <w:rPr>
          <w:rFonts w:asciiTheme="minorHAnsi" w:hAnsiTheme="minorHAnsi" w:cstheme="minorHAnsi"/>
          <w:sz w:val="24"/>
          <w:szCs w:val="24"/>
        </w:rPr>
        <w:t xml:space="preserve"> Concepto de Elaboración de informes el art 161.</w:t>
      </w:r>
      <w:r w:rsidR="009669F5" w:rsidRPr="00353D79">
        <w:rPr>
          <w:rFonts w:asciiTheme="minorHAnsi" w:hAnsiTheme="minorHAnsi" w:cstheme="minorHAnsi"/>
          <w:sz w:val="24"/>
          <w:szCs w:val="24"/>
        </w:rPr>
        <w:t>2</w:t>
      </w:r>
      <w:r w:rsidR="009364BC" w:rsidRPr="00353D79">
        <w:rPr>
          <w:rFonts w:asciiTheme="minorHAnsi" w:hAnsiTheme="minorHAnsi" w:cstheme="minorHAnsi"/>
          <w:sz w:val="24"/>
          <w:szCs w:val="24"/>
        </w:rPr>
        <w:t>.</w:t>
      </w:r>
      <w:r w:rsidR="009669F5" w:rsidRPr="00353D79">
        <w:rPr>
          <w:rFonts w:asciiTheme="minorHAnsi" w:hAnsiTheme="minorHAnsi" w:cstheme="minorHAnsi"/>
          <w:sz w:val="24"/>
          <w:szCs w:val="24"/>
        </w:rPr>
        <w:t>d</w:t>
      </w:r>
      <w:r w:rsidR="009364BC" w:rsidRPr="00353D79">
        <w:rPr>
          <w:rFonts w:asciiTheme="minorHAnsi" w:hAnsiTheme="minorHAnsi" w:cstheme="minorHAnsi"/>
          <w:sz w:val="24"/>
          <w:szCs w:val="24"/>
        </w:rPr>
        <w:t xml:space="preserve"> del Anteproyecto.</w:t>
      </w:r>
      <w:bookmarkEnd w:id="13"/>
    </w:p>
    <w:p w:rsidR="009669F5" w:rsidRPr="002E774B" w:rsidRDefault="009669F5" w:rsidP="00647FA9">
      <w:pPr>
        <w:spacing w:before="120"/>
        <w:jc w:val="both"/>
        <w:rPr>
          <w:rFonts w:asciiTheme="minorHAnsi" w:eastAsiaTheme="minorHAnsi" w:hAnsiTheme="minorHAnsi" w:cstheme="minorHAnsi"/>
          <w:sz w:val="22"/>
          <w:szCs w:val="22"/>
          <w:lang w:val="es-ES"/>
        </w:rPr>
      </w:pPr>
      <w:r w:rsidRPr="00350CDE">
        <w:rPr>
          <w:rFonts w:asciiTheme="minorHAnsi" w:eastAsiaTheme="minorHAnsi" w:hAnsiTheme="minorHAnsi" w:cstheme="minorHAnsi"/>
          <w:sz w:val="22"/>
          <w:szCs w:val="22"/>
          <w:lang w:val="es-ES"/>
        </w:rPr>
        <w:t>Se hace referencia al art.36 del Reglamento Delegado (UE) 2017/565 de la Comisión, y se indica</w:t>
      </w:r>
      <w:r w:rsidRPr="002E774B">
        <w:rPr>
          <w:rFonts w:asciiTheme="minorHAnsi" w:eastAsiaTheme="minorHAnsi" w:hAnsiTheme="minorHAnsi" w:cstheme="minorHAnsi"/>
          <w:sz w:val="22"/>
          <w:szCs w:val="22"/>
          <w:lang w:val="es-ES"/>
        </w:rPr>
        <w:t xml:space="preserve">: </w:t>
      </w:r>
    </w:p>
    <w:p w:rsidR="00053806" w:rsidRPr="00350CDE" w:rsidRDefault="009669F5" w:rsidP="00261534">
      <w:pPr>
        <w:spacing w:before="120"/>
        <w:ind w:left="708"/>
        <w:jc w:val="both"/>
        <w:rPr>
          <w:rFonts w:asciiTheme="minorHAnsi" w:eastAsiaTheme="minorHAnsi" w:hAnsiTheme="minorHAnsi" w:cstheme="minorHAnsi"/>
          <w:sz w:val="22"/>
          <w:szCs w:val="22"/>
          <w:lang w:val="es-ES"/>
        </w:rPr>
      </w:pPr>
      <w:r w:rsidRPr="00350CDE">
        <w:rPr>
          <w:rFonts w:asciiTheme="minorHAnsi" w:eastAsiaTheme="minorHAnsi" w:hAnsiTheme="minorHAnsi" w:cstheme="minorHAnsi"/>
          <w:i/>
          <w:sz w:val="22"/>
          <w:szCs w:val="22"/>
          <w:lang w:val="es-ES"/>
        </w:rPr>
        <w:t>“En cualquier caso, las recomendaciones que no cumplan las dos condiciones establecidas en esta letra…”</w:t>
      </w:r>
      <w:r w:rsidRPr="00350CDE">
        <w:rPr>
          <w:rFonts w:asciiTheme="minorHAnsi" w:eastAsiaTheme="minorHAnsi" w:hAnsiTheme="minorHAnsi" w:cstheme="minorHAnsi"/>
          <w:sz w:val="22"/>
          <w:szCs w:val="22"/>
          <w:lang w:val="es-ES"/>
        </w:rPr>
        <w:t xml:space="preserve"> </w:t>
      </w:r>
    </w:p>
    <w:p w:rsidR="00B86626" w:rsidRDefault="009669F5" w:rsidP="00053806">
      <w:pPr>
        <w:spacing w:before="120"/>
        <w:jc w:val="both"/>
        <w:rPr>
          <w:rFonts w:asciiTheme="minorHAnsi" w:eastAsiaTheme="minorHAnsi" w:hAnsiTheme="minorHAnsi" w:cstheme="minorHAnsi"/>
          <w:sz w:val="22"/>
          <w:szCs w:val="22"/>
          <w:lang w:val="es-ES"/>
        </w:rPr>
      </w:pPr>
      <w:r w:rsidRPr="00350CDE">
        <w:rPr>
          <w:rFonts w:asciiTheme="minorHAnsi" w:eastAsiaTheme="minorHAnsi" w:hAnsiTheme="minorHAnsi" w:cstheme="minorHAnsi"/>
          <w:sz w:val="22"/>
          <w:szCs w:val="22"/>
          <w:lang w:val="es-ES"/>
        </w:rPr>
        <w:t>Sin embargo estas condiciones, que están en la Ley actual, se han eliminado en el Anteproyecto</w:t>
      </w:r>
      <w:r w:rsidR="00770144" w:rsidRPr="00350CDE">
        <w:rPr>
          <w:rFonts w:asciiTheme="minorHAnsi" w:eastAsiaTheme="minorHAnsi" w:hAnsiTheme="minorHAnsi" w:cstheme="minorHAnsi"/>
          <w:sz w:val="22"/>
          <w:szCs w:val="22"/>
          <w:lang w:val="es-ES"/>
        </w:rPr>
        <w:t>. Entendemos que es un error.</w:t>
      </w:r>
    </w:p>
    <w:p w:rsidR="00B86626" w:rsidRPr="00353D79" w:rsidRDefault="00B86626" w:rsidP="00B86626">
      <w:pPr>
        <w:pStyle w:val="Ttulo3"/>
        <w:rPr>
          <w:rFonts w:asciiTheme="minorHAnsi" w:hAnsiTheme="minorHAnsi" w:cstheme="minorHAnsi"/>
          <w:sz w:val="24"/>
          <w:szCs w:val="24"/>
        </w:rPr>
      </w:pPr>
      <w:r>
        <w:rPr>
          <w:rFonts w:asciiTheme="minorHAnsi" w:eastAsiaTheme="minorHAnsi" w:hAnsiTheme="minorHAnsi" w:cstheme="minorHAnsi"/>
          <w:sz w:val="22"/>
          <w:szCs w:val="22"/>
          <w:lang w:val="es-ES"/>
        </w:rPr>
        <w:t>9</w:t>
      </w:r>
      <w:r w:rsidRPr="00353D79">
        <w:rPr>
          <w:rFonts w:asciiTheme="minorHAnsi" w:hAnsiTheme="minorHAnsi" w:cstheme="minorHAnsi"/>
          <w:sz w:val="24"/>
          <w:szCs w:val="24"/>
        </w:rPr>
        <w:t xml:space="preserve">. </w:t>
      </w:r>
      <w:r>
        <w:rPr>
          <w:rFonts w:asciiTheme="minorHAnsi" w:hAnsiTheme="minorHAnsi" w:cstheme="minorHAnsi"/>
          <w:sz w:val="24"/>
          <w:szCs w:val="24"/>
        </w:rPr>
        <w:t>Requisitos órgano de administración</w:t>
      </w:r>
    </w:p>
    <w:p w:rsidR="0041383C" w:rsidRDefault="0041383C" w:rsidP="0041383C">
      <w:pPr>
        <w:spacing w:before="120"/>
        <w:jc w:val="both"/>
        <w:rPr>
          <w:rFonts w:asciiTheme="minorHAnsi" w:eastAsiaTheme="minorHAnsi" w:hAnsiTheme="minorHAnsi" w:cstheme="minorHAnsi"/>
          <w:sz w:val="22"/>
          <w:szCs w:val="22"/>
          <w:lang w:val="es-ES"/>
        </w:rPr>
      </w:pPr>
      <w:r>
        <w:rPr>
          <w:rFonts w:asciiTheme="minorHAnsi" w:eastAsiaTheme="minorHAnsi" w:hAnsiTheme="minorHAnsi" w:cstheme="minorHAnsi"/>
          <w:sz w:val="22"/>
          <w:szCs w:val="22"/>
          <w:lang w:val="es-ES"/>
        </w:rPr>
        <w:t>El art. 178 del Anteproyecto, establece que e</w:t>
      </w:r>
      <w:r w:rsidRPr="0041383C">
        <w:rPr>
          <w:rFonts w:asciiTheme="minorHAnsi" w:eastAsiaTheme="minorHAnsi" w:hAnsiTheme="minorHAnsi" w:cstheme="minorHAnsi"/>
          <w:sz w:val="22"/>
          <w:szCs w:val="22"/>
          <w:lang w:val="es-ES"/>
        </w:rPr>
        <w:t xml:space="preserve">l nombramiento de nuevos miembros del órgano de administración o de la alta dirección de las empresas de servicios de inversión y, en su caso, de sus </w:t>
      </w:r>
      <w:r w:rsidRPr="0041383C">
        <w:rPr>
          <w:rFonts w:asciiTheme="minorHAnsi" w:eastAsiaTheme="minorHAnsi" w:hAnsiTheme="minorHAnsi" w:cstheme="minorHAnsi"/>
          <w:b/>
          <w:sz w:val="22"/>
          <w:szCs w:val="22"/>
          <w:lang w:val="es-ES"/>
        </w:rPr>
        <w:t>entidades dominantes</w:t>
      </w:r>
      <w:r w:rsidRPr="0041383C">
        <w:rPr>
          <w:rFonts w:asciiTheme="minorHAnsi" w:eastAsiaTheme="minorHAnsi" w:hAnsiTheme="minorHAnsi" w:cstheme="minorHAnsi"/>
          <w:sz w:val="22"/>
          <w:szCs w:val="22"/>
          <w:lang w:val="es-ES"/>
        </w:rPr>
        <w:t>, deberá ser objeto de comunicación previa a la CNMV,</w:t>
      </w:r>
      <w:r>
        <w:rPr>
          <w:rFonts w:asciiTheme="minorHAnsi" w:eastAsiaTheme="minorHAnsi" w:hAnsiTheme="minorHAnsi" w:cstheme="minorHAnsi"/>
          <w:sz w:val="22"/>
          <w:szCs w:val="22"/>
          <w:lang w:val="es-ES"/>
        </w:rPr>
        <w:t xml:space="preserve"> que podrá oponerse s</w:t>
      </w:r>
      <w:r w:rsidRPr="0041383C">
        <w:rPr>
          <w:rFonts w:asciiTheme="minorHAnsi" w:eastAsiaTheme="minorHAnsi" w:hAnsiTheme="minorHAnsi" w:cstheme="minorHAnsi"/>
          <w:sz w:val="22"/>
          <w:szCs w:val="22"/>
          <w:lang w:val="es-ES"/>
        </w:rPr>
        <w:t>i considera que dichas personas no gozan de los requisitos de idoneidad de conformidad con lo dispuesto en el artículo 205</w:t>
      </w:r>
      <w:r>
        <w:rPr>
          <w:rFonts w:asciiTheme="minorHAnsi" w:eastAsiaTheme="minorHAnsi" w:hAnsiTheme="minorHAnsi" w:cstheme="minorHAnsi"/>
          <w:sz w:val="22"/>
          <w:szCs w:val="22"/>
          <w:lang w:val="es-ES"/>
        </w:rPr>
        <w:t>. El artículo 205, establece que</w:t>
      </w:r>
      <w:r w:rsidRPr="0041383C">
        <w:t xml:space="preserve"> </w:t>
      </w:r>
      <w:r>
        <w:t>l</w:t>
      </w:r>
      <w:r w:rsidRPr="0041383C">
        <w:rPr>
          <w:rFonts w:asciiTheme="minorHAnsi" w:eastAsiaTheme="minorHAnsi" w:hAnsiTheme="minorHAnsi" w:cstheme="minorHAnsi"/>
          <w:sz w:val="22"/>
          <w:szCs w:val="22"/>
          <w:lang w:val="es-ES"/>
        </w:rPr>
        <w:t>os miembros del órgano de administración y de la alta dirección de las emp</w:t>
      </w:r>
      <w:r w:rsidR="000D5A15">
        <w:rPr>
          <w:rFonts w:asciiTheme="minorHAnsi" w:eastAsiaTheme="minorHAnsi" w:hAnsiTheme="minorHAnsi" w:cstheme="minorHAnsi"/>
          <w:sz w:val="22"/>
          <w:szCs w:val="22"/>
          <w:lang w:val="es-ES"/>
        </w:rPr>
        <w:t xml:space="preserve">resas de servicios de inversión </w:t>
      </w:r>
      <w:r w:rsidRPr="0041383C">
        <w:rPr>
          <w:rFonts w:asciiTheme="minorHAnsi" w:eastAsiaTheme="minorHAnsi" w:hAnsiTheme="minorHAnsi" w:cstheme="minorHAnsi"/>
          <w:sz w:val="22"/>
          <w:szCs w:val="22"/>
          <w:lang w:val="es-ES"/>
        </w:rPr>
        <w:t xml:space="preserve">deben </w:t>
      </w:r>
      <w:r>
        <w:rPr>
          <w:rFonts w:asciiTheme="minorHAnsi" w:eastAsiaTheme="minorHAnsi" w:hAnsiTheme="minorHAnsi" w:cstheme="minorHAnsi"/>
          <w:sz w:val="22"/>
          <w:szCs w:val="22"/>
          <w:lang w:val="es-ES"/>
        </w:rPr>
        <w:t xml:space="preserve">tener </w:t>
      </w:r>
      <w:r w:rsidRPr="0041383C">
        <w:rPr>
          <w:rFonts w:asciiTheme="minorHAnsi" w:eastAsiaTheme="minorHAnsi" w:hAnsiTheme="minorHAnsi" w:cstheme="minorHAnsi"/>
          <w:sz w:val="22"/>
          <w:szCs w:val="22"/>
          <w:lang w:val="es-ES"/>
        </w:rPr>
        <w:t>conocimientos, competencias y experiencia suficientes, y dedicar un tiempo suficiente al desempeño de sus funciones en la empresa de servicios de inversión.</w:t>
      </w:r>
      <w:r w:rsidR="000D5A15">
        <w:rPr>
          <w:rFonts w:asciiTheme="minorHAnsi" w:eastAsiaTheme="minorHAnsi" w:hAnsiTheme="minorHAnsi" w:cstheme="minorHAnsi"/>
          <w:sz w:val="22"/>
          <w:szCs w:val="22"/>
          <w:lang w:val="es-ES"/>
        </w:rPr>
        <w:t xml:space="preserve"> ¿Se refiere a todos </w:t>
      </w:r>
      <w:r w:rsidR="000D5A15">
        <w:t>l</w:t>
      </w:r>
      <w:r w:rsidR="000D5A15" w:rsidRPr="0041383C">
        <w:rPr>
          <w:rFonts w:asciiTheme="minorHAnsi" w:eastAsiaTheme="minorHAnsi" w:hAnsiTheme="minorHAnsi" w:cstheme="minorHAnsi"/>
          <w:sz w:val="22"/>
          <w:szCs w:val="22"/>
          <w:lang w:val="es-ES"/>
        </w:rPr>
        <w:t>os miembros del órgano de administración y de la alta dirección</w:t>
      </w:r>
      <w:r w:rsidR="000D5A15">
        <w:rPr>
          <w:rFonts w:asciiTheme="minorHAnsi" w:eastAsiaTheme="minorHAnsi" w:hAnsiTheme="minorHAnsi" w:cstheme="minorHAnsi"/>
          <w:sz w:val="22"/>
          <w:szCs w:val="22"/>
          <w:lang w:val="es-ES"/>
        </w:rPr>
        <w:t xml:space="preserve">? </w:t>
      </w:r>
      <w:r w:rsidRPr="0041383C">
        <w:rPr>
          <w:rFonts w:asciiTheme="minorHAnsi" w:eastAsiaTheme="minorHAnsi" w:hAnsiTheme="minorHAnsi" w:cstheme="minorHAnsi"/>
          <w:sz w:val="22"/>
          <w:szCs w:val="22"/>
          <w:lang w:val="es-ES"/>
        </w:rPr>
        <w:t xml:space="preserve"> </w:t>
      </w:r>
    </w:p>
    <w:p w:rsidR="00B86626" w:rsidRDefault="0041383C" w:rsidP="00B86626">
      <w:pPr>
        <w:spacing w:before="120"/>
        <w:jc w:val="both"/>
        <w:rPr>
          <w:rFonts w:asciiTheme="minorHAnsi" w:eastAsiaTheme="minorHAnsi" w:hAnsiTheme="minorHAnsi" w:cstheme="minorHAnsi"/>
          <w:sz w:val="22"/>
          <w:szCs w:val="22"/>
          <w:lang w:val="es-ES"/>
        </w:rPr>
      </w:pPr>
      <w:r>
        <w:rPr>
          <w:rFonts w:asciiTheme="minorHAnsi" w:eastAsiaTheme="minorHAnsi" w:hAnsiTheme="minorHAnsi" w:cstheme="minorHAnsi"/>
          <w:sz w:val="22"/>
          <w:szCs w:val="22"/>
          <w:lang w:val="es-ES"/>
        </w:rPr>
        <w:t xml:space="preserve">En el caso del órgano de administración de las sociedades dominantes, este requisito puede ser excesivo, dado que la propia Empresa </w:t>
      </w:r>
      <w:r w:rsidR="00762F8F">
        <w:rPr>
          <w:rFonts w:asciiTheme="minorHAnsi" w:eastAsiaTheme="minorHAnsi" w:hAnsiTheme="minorHAnsi" w:cstheme="minorHAnsi"/>
          <w:sz w:val="22"/>
          <w:szCs w:val="22"/>
          <w:lang w:val="es-ES"/>
        </w:rPr>
        <w:t>de Servicios de Inversió</w:t>
      </w:r>
      <w:r>
        <w:rPr>
          <w:rFonts w:asciiTheme="minorHAnsi" w:eastAsiaTheme="minorHAnsi" w:hAnsiTheme="minorHAnsi" w:cstheme="minorHAnsi"/>
          <w:sz w:val="22"/>
          <w:szCs w:val="22"/>
          <w:lang w:val="es-ES"/>
        </w:rPr>
        <w:t xml:space="preserve">n ya debe contar con un órgano </w:t>
      </w:r>
      <w:r w:rsidR="00100D19">
        <w:rPr>
          <w:rFonts w:asciiTheme="minorHAnsi" w:eastAsiaTheme="minorHAnsi" w:hAnsiTheme="minorHAnsi" w:cstheme="minorHAnsi"/>
          <w:sz w:val="22"/>
          <w:szCs w:val="22"/>
          <w:lang w:val="es-ES"/>
        </w:rPr>
        <w:t>d</w:t>
      </w:r>
      <w:r>
        <w:rPr>
          <w:rFonts w:asciiTheme="minorHAnsi" w:eastAsiaTheme="minorHAnsi" w:hAnsiTheme="minorHAnsi" w:cstheme="minorHAnsi"/>
          <w:sz w:val="22"/>
          <w:szCs w:val="22"/>
          <w:lang w:val="es-ES"/>
        </w:rPr>
        <w:t xml:space="preserve">e administración que cuenta con </w:t>
      </w:r>
      <w:r w:rsidR="00100D19">
        <w:rPr>
          <w:rFonts w:asciiTheme="minorHAnsi" w:eastAsiaTheme="minorHAnsi" w:hAnsiTheme="minorHAnsi" w:cstheme="minorHAnsi"/>
          <w:sz w:val="22"/>
          <w:szCs w:val="22"/>
          <w:lang w:val="es-ES"/>
        </w:rPr>
        <w:t xml:space="preserve">esos </w:t>
      </w:r>
      <w:r>
        <w:rPr>
          <w:rFonts w:asciiTheme="minorHAnsi" w:eastAsiaTheme="minorHAnsi" w:hAnsiTheme="minorHAnsi" w:cstheme="minorHAnsi"/>
          <w:sz w:val="22"/>
          <w:szCs w:val="22"/>
          <w:lang w:val="es-ES"/>
        </w:rPr>
        <w:t>requisitos</w:t>
      </w:r>
    </w:p>
    <w:p w:rsidR="00BD2558" w:rsidRPr="00353D79" w:rsidRDefault="00762F8F" w:rsidP="007E5BF7">
      <w:pPr>
        <w:pStyle w:val="Ttulo3"/>
        <w:rPr>
          <w:rFonts w:asciiTheme="minorHAnsi" w:hAnsiTheme="minorHAnsi" w:cstheme="minorHAnsi"/>
          <w:sz w:val="24"/>
          <w:szCs w:val="24"/>
        </w:rPr>
      </w:pPr>
      <w:bookmarkStart w:id="14" w:name="_Toc493227782"/>
      <w:r>
        <w:rPr>
          <w:rFonts w:asciiTheme="minorHAnsi" w:hAnsiTheme="minorHAnsi" w:cstheme="minorHAnsi"/>
          <w:sz w:val="24"/>
          <w:szCs w:val="24"/>
        </w:rPr>
        <w:t>10</w:t>
      </w:r>
      <w:r w:rsidR="00BD2558" w:rsidRPr="00353D79">
        <w:rPr>
          <w:rFonts w:asciiTheme="minorHAnsi" w:hAnsiTheme="minorHAnsi" w:cstheme="minorHAnsi"/>
          <w:sz w:val="24"/>
          <w:szCs w:val="24"/>
        </w:rPr>
        <w:t>. Programa de actividades.</w:t>
      </w:r>
      <w:bookmarkEnd w:id="14"/>
    </w:p>
    <w:p w:rsidR="00BD2558" w:rsidRPr="00350CDE" w:rsidRDefault="00BD2558"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 xml:space="preserve">Se eliminan en el Anteproyecto todas las referencias al Programa de Actividades (art. 169 del Anteproyecto), quedando sustituido por “relación de actividades” </w:t>
      </w:r>
    </w:p>
    <w:p w:rsidR="00053806" w:rsidRPr="00350CDE" w:rsidRDefault="00BD2558"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El artículo 9 del Reglamento indica</w:t>
      </w:r>
      <w:r w:rsidR="00E96B5F" w:rsidRPr="00350CDE">
        <w:rPr>
          <w:rFonts w:asciiTheme="minorHAnsi" w:hAnsiTheme="minorHAnsi" w:cstheme="minorHAnsi"/>
          <w:sz w:val="22"/>
          <w:szCs w:val="22"/>
        </w:rPr>
        <w:t xml:space="preserve"> </w:t>
      </w:r>
    </w:p>
    <w:p w:rsidR="00517788" w:rsidRPr="00350CDE" w:rsidRDefault="00BD2558" w:rsidP="00261534">
      <w:pPr>
        <w:spacing w:before="120"/>
        <w:ind w:left="567"/>
        <w:jc w:val="both"/>
        <w:rPr>
          <w:rFonts w:asciiTheme="minorHAnsi" w:hAnsiTheme="minorHAnsi" w:cstheme="minorHAnsi"/>
          <w:sz w:val="22"/>
          <w:szCs w:val="22"/>
        </w:rPr>
      </w:pPr>
      <w:r w:rsidRPr="00350CDE">
        <w:rPr>
          <w:rFonts w:asciiTheme="minorHAnsi" w:hAnsiTheme="minorHAnsi" w:cstheme="minorHAnsi"/>
          <w:sz w:val="22"/>
          <w:szCs w:val="22"/>
        </w:rPr>
        <w:t>”</w:t>
      </w:r>
      <w:r w:rsidRPr="00350CDE">
        <w:rPr>
          <w:rFonts w:asciiTheme="minorHAnsi" w:hAnsiTheme="minorHAnsi" w:cstheme="minorHAnsi"/>
          <w:i/>
          <w:sz w:val="22"/>
          <w:szCs w:val="22"/>
        </w:rPr>
        <w:t>La relación de actividades de las empresas de servicios de inversión se hará constar en los registros de la Comisión Nacional del Mercado de Valores en la forma que ésta determine</w:t>
      </w:r>
      <w:r w:rsidRPr="00350CDE">
        <w:rPr>
          <w:rFonts w:asciiTheme="minorHAnsi" w:hAnsiTheme="minorHAnsi" w:cstheme="minorHAnsi"/>
          <w:sz w:val="22"/>
          <w:szCs w:val="22"/>
        </w:rPr>
        <w:t xml:space="preserve">.” </w:t>
      </w:r>
    </w:p>
    <w:p w:rsidR="00BD2558" w:rsidRPr="00350CDE" w:rsidRDefault="00BD2558"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¿Se entiende que esta relación de actividades es el Programa de actividades?</w:t>
      </w:r>
    </w:p>
    <w:p w:rsidR="00BD2558" w:rsidRPr="00350CDE" w:rsidRDefault="00BD2558"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En el artículo 11.1 del Reglamento, Modificaciones de la relación de actividades, en el segundo párrafo se indica:</w:t>
      </w:r>
    </w:p>
    <w:p w:rsidR="00BD2558" w:rsidRPr="00350CDE" w:rsidRDefault="00BD2558" w:rsidP="00261534">
      <w:pPr>
        <w:spacing w:before="120"/>
        <w:ind w:left="567"/>
        <w:jc w:val="both"/>
        <w:rPr>
          <w:rFonts w:asciiTheme="minorHAnsi" w:hAnsiTheme="minorHAnsi" w:cstheme="minorHAnsi"/>
          <w:sz w:val="22"/>
          <w:szCs w:val="22"/>
        </w:rPr>
      </w:pPr>
      <w:r w:rsidRPr="00350CDE">
        <w:rPr>
          <w:rFonts w:asciiTheme="minorHAnsi" w:hAnsiTheme="minorHAnsi" w:cstheme="minorHAnsi"/>
          <w:i/>
          <w:sz w:val="22"/>
          <w:szCs w:val="22"/>
        </w:rPr>
        <w:lastRenderedPageBreak/>
        <w:t xml:space="preserve">“No obstante lo anterior, </w:t>
      </w:r>
      <w:r w:rsidRPr="00350CDE">
        <w:rPr>
          <w:rFonts w:asciiTheme="minorHAnsi" w:hAnsiTheme="minorHAnsi" w:cstheme="minorHAnsi"/>
          <w:i/>
          <w:sz w:val="22"/>
          <w:szCs w:val="22"/>
          <w:u w:val="single"/>
        </w:rPr>
        <w:t>sólo deberán ser comunicadas</w:t>
      </w:r>
      <w:r w:rsidRPr="00350CDE">
        <w:rPr>
          <w:rFonts w:asciiTheme="minorHAnsi" w:hAnsiTheme="minorHAnsi" w:cstheme="minorHAnsi"/>
          <w:i/>
          <w:sz w:val="22"/>
          <w:szCs w:val="22"/>
        </w:rPr>
        <w:t xml:space="preserve"> a la Comisión Nacional del Mercado de Valores aquellas modificaciones de la relación de actividades que tengan escasa relevancia por afectar a servicios y actividades no reservadas</w:t>
      </w:r>
      <w:r w:rsidRPr="00350CDE">
        <w:rPr>
          <w:rFonts w:asciiTheme="minorHAnsi" w:hAnsiTheme="minorHAnsi" w:cstheme="minorHAnsi"/>
          <w:sz w:val="22"/>
          <w:szCs w:val="22"/>
        </w:rPr>
        <w:t>”</w:t>
      </w:r>
    </w:p>
    <w:p w:rsidR="00BD2558" w:rsidRPr="00350CDE" w:rsidRDefault="00BD2558"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Entendemos que s</w:t>
      </w:r>
      <w:r w:rsidR="00517788" w:rsidRPr="00350CDE">
        <w:rPr>
          <w:rFonts w:asciiTheme="minorHAnsi" w:hAnsiTheme="minorHAnsi" w:cstheme="minorHAnsi"/>
          <w:sz w:val="22"/>
          <w:szCs w:val="22"/>
        </w:rPr>
        <w:t>e</w:t>
      </w:r>
      <w:r w:rsidRPr="00350CDE">
        <w:rPr>
          <w:rFonts w:asciiTheme="minorHAnsi" w:hAnsiTheme="minorHAnsi" w:cstheme="minorHAnsi"/>
          <w:sz w:val="22"/>
          <w:szCs w:val="22"/>
        </w:rPr>
        <w:t>ría necesario eliminar el “solo”</w:t>
      </w:r>
      <w:r w:rsidR="001B50CD" w:rsidRPr="00350CDE">
        <w:rPr>
          <w:rFonts w:asciiTheme="minorHAnsi" w:hAnsiTheme="minorHAnsi" w:cstheme="minorHAnsi"/>
          <w:sz w:val="22"/>
          <w:szCs w:val="22"/>
        </w:rPr>
        <w:t>, ya que induce a error.</w:t>
      </w:r>
    </w:p>
    <w:p w:rsidR="00863818" w:rsidRPr="00340797" w:rsidRDefault="00AF3D59" w:rsidP="007E5BF7">
      <w:pPr>
        <w:pStyle w:val="Ttulo2"/>
        <w:rPr>
          <w:rFonts w:asciiTheme="minorHAnsi" w:hAnsiTheme="minorHAnsi" w:cstheme="minorHAnsi"/>
          <w:sz w:val="24"/>
          <w:szCs w:val="24"/>
        </w:rPr>
      </w:pPr>
      <w:bookmarkStart w:id="15" w:name="_Toc493227783"/>
      <w:r>
        <w:rPr>
          <w:rFonts w:asciiTheme="minorHAnsi" w:hAnsiTheme="minorHAnsi" w:cstheme="minorHAnsi"/>
          <w:sz w:val="24"/>
          <w:szCs w:val="24"/>
        </w:rPr>
        <w:t>1</w:t>
      </w:r>
      <w:r w:rsidR="00762F8F">
        <w:rPr>
          <w:rFonts w:asciiTheme="minorHAnsi" w:hAnsiTheme="minorHAnsi" w:cstheme="minorHAnsi"/>
          <w:sz w:val="24"/>
          <w:szCs w:val="24"/>
        </w:rPr>
        <w:t>1</w:t>
      </w:r>
      <w:r w:rsidR="00353D79" w:rsidRPr="00340797">
        <w:rPr>
          <w:rFonts w:asciiTheme="minorHAnsi" w:hAnsiTheme="minorHAnsi" w:cstheme="minorHAnsi"/>
          <w:sz w:val="24"/>
          <w:szCs w:val="24"/>
        </w:rPr>
        <w:tab/>
      </w:r>
      <w:r w:rsidR="00DA02B8" w:rsidRPr="00340797">
        <w:rPr>
          <w:rFonts w:asciiTheme="minorHAnsi" w:hAnsiTheme="minorHAnsi" w:cstheme="minorHAnsi"/>
          <w:sz w:val="24"/>
          <w:szCs w:val="24"/>
        </w:rPr>
        <w:t>Empresas de servicios de inversión significativas</w:t>
      </w:r>
      <w:r w:rsidR="00863818" w:rsidRPr="00340797">
        <w:rPr>
          <w:rFonts w:asciiTheme="minorHAnsi" w:hAnsiTheme="minorHAnsi" w:cstheme="minorHAnsi"/>
          <w:sz w:val="24"/>
          <w:szCs w:val="24"/>
        </w:rPr>
        <w:t xml:space="preserve"> y c</w:t>
      </w:r>
      <w:r w:rsidR="009669F5" w:rsidRPr="00340797">
        <w:rPr>
          <w:rFonts w:asciiTheme="minorHAnsi" w:hAnsiTheme="minorHAnsi" w:cstheme="minorHAnsi"/>
          <w:sz w:val="24"/>
          <w:szCs w:val="24"/>
        </w:rPr>
        <w:t>o</w:t>
      </w:r>
      <w:r w:rsidR="00863818" w:rsidRPr="00340797">
        <w:rPr>
          <w:rFonts w:asciiTheme="minorHAnsi" w:hAnsiTheme="minorHAnsi" w:cstheme="minorHAnsi"/>
          <w:sz w:val="24"/>
          <w:szCs w:val="24"/>
        </w:rPr>
        <w:t>mité de nombramientos:</w:t>
      </w:r>
      <w:bookmarkEnd w:id="15"/>
    </w:p>
    <w:p w:rsidR="007A62A4" w:rsidRPr="00350CDE" w:rsidRDefault="005767C7" w:rsidP="00647FA9">
      <w:pPr>
        <w:spacing w:before="120"/>
        <w:jc w:val="both"/>
        <w:rPr>
          <w:rFonts w:asciiTheme="minorHAnsi" w:hAnsiTheme="minorHAnsi" w:cstheme="minorHAnsi"/>
          <w:sz w:val="22"/>
          <w:szCs w:val="22"/>
        </w:rPr>
      </w:pPr>
      <w:r>
        <w:rPr>
          <w:rFonts w:asciiTheme="minorHAnsi" w:hAnsiTheme="minorHAnsi" w:cstheme="minorHAnsi"/>
          <w:sz w:val="22"/>
          <w:szCs w:val="22"/>
        </w:rPr>
        <w:t>El A</w:t>
      </w:r>
      <w:r w:rsidR="007A62A4" w:rsidRPr="00350CDE">
        <w:rPr>
          <w:rFonts w:asciiTheme="minorHAnsi" w:hAnsiTheme="minorHAnsi" w:cstheme="minorHAnsi"/>
          <w:sz w:val="22"/>
          <w:szCs w:val="22"/>
        </w:rPr>
        <w:t xml:space="preserve">nteproyecto en su artículo 210 no define que es una empresa de inversión significativa </w:t>
      </w:r>
      <w:r w:rsidR="00863818" w:rsidRPr="00350CDE">
        <w:rPr>
          <w:rFonts w:asciiTheme="minorHAnsi" w:hAnsiTheme="minorHAnsi" w:cstheme="minorHAnsi"/>
          <w:sz w:val="22"/>
          <w:szCs w:val="22"/>
        </w:rPr>
        <w:t>a</w:t>
      </w:r>
      <w:r w:rsidR="007A62A4" w:rsidRPr="00350CDE">
        <w:rPr>
          <w:rFonts w:asciiTheme="minorHAnsi" w:hAnsiTheme="minorHAnsi" w:cstheme="minorHAnsi"/>
          <w:sz w:val="22"/>
          <w:szCs w:val="22"/>
        </w:rPr>
        <w:t>unque indica que reglamentariamente se indicará.</w:t>
      </w:r>
      <w:r>
        <w:rPr>
          <w:rFonts w:asciiTheme="minorHAnsi" w:hAnsiTheme="minorHAnsi" w:cstheme="minorHAnsi"/>
          <w:sz w:val="22"/>
          <w:szCs w:val="22"/>
        </w:rPr>
        <w:t xml:space="preserve"> Sin embargo en el proyecto de R</w:t>
      </w:r>
      <w:r w:rsidR="007A62A4" w:rsidRPr="00350CDE">
        <w:rPr>
          <w:rFonts w:asciiTheme="minorHAnsi" w:hAnsiTheme="minorHAnsi" w:cstheme="minorHAnsi"/>
          <w:sz w:val="22"/>
          <w:szCs w:val="22"/>
        </w:rPr>
        <w:t>eglamento tampoco está definida</w:t>
      </w:r>
    </w:p>
    <w:p w:rsidR="00863818" w:rsidRPr="00350CDE" w:rsidRDefault="00863818"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Así mismo, en el art. 34 del Reglamento Comité de nombramientos, hace referencia al art. 54 de</w:t>
      </w:r>
      <w:r w:rsidR="009669F5" w:rsidRPr="00350CDE">
        <w:rPr>
          <w:rFonts w:asciiTheme="minorHAnsi" w:hAnsiTheme="minorHAnsi" w:cstheme="minorHAnsi"/>
          <w:sz w:val="22"/>
          <w:szCs w:val="22"/>
        </w:rPr>
        <w:t>l anteproyecto</w:t>
      </w:r>
      <w:r w:rsidRPr="00350CDE">
        <w:rPr>
          <w:rFonts w:asciiTheme="minorHAnsi" w:hAnsiTheme="minorHAnsi" w:cstheme="minorHAnsi"/>
          <w:sz w:val="22"/>
          <w:szCs w:val="22"/>
        </w:rPr>
        <w:t xml:space="preserve">. </w:t>
      </w:r>
      <w:r w:rsidR="009669F5" w:rsidRPr="00350CDE">
        <w:rPr>
          <w:rFonts w:asciiTheme="minorHAnsi" w:hAnsiTheme="minorHAnsi" w:cstheme="minorHAnsi"/>
          <w:sz w:val="22"/>
          <w:szCs w:val="22"/>
        </w:rPr>
        <w:t>¿</w:t>
      </w:r>
      <w:r w:rsidRPr="00350CDE">
        <w:rPr>
          <w:rFonts w:asciiTheme="minorHAnsi" w:hAnsiTheme="minorHAnsi" w:cstheme="minorHAnsi"/>
          <w:sz w:val="22"/>
          <w:szCs w:val="22"/>
        </w:rPr>
        <w:t xml:space="preserve">No sería </w:t>
      </w:r>
      <w:proofErr w:type="spellStart"/>
      <w:r w:rsidRPr="00350CDE">
        <w:rPr>
          <w:rFonts w:asciiTheme="minorHAnsi" w:hAnsiTheme="minorHAnsi" w:cstheme="minorHAnsi"/>
          <w:sz w:val="22"/>
          <w:szCs w:val="22"/>
        </w:rPr>
        <w:t>mas</w:t>
      </w:r>
      <w:proofErr w:type="spellEnd"/>
      <w:r w:rsidRPr="00350CDE">
        <w:rPr>
          <w:rFonts w:asciiTheme="minorHAnsi" w:hAnsiTheme="minorHAnsi" w:cstheme="minorHAnsi"/>
          <w:sz w:val="22"/>
          <w:szCs w:val="22"/>
        </w:rPr>
        <w:t xml:space="preserve"> adecuado qu</w:t>
      </w:r>
      <w:r w:rsidR="005767C7">
        <w:rPr>
          <w:rFonts w:asciiTheme="minorHAnsi" w:hAnsiTheme="minorHAnsi" w:cstheme="minorHAnsi"/>
          <w:sz w:val="22"/>
          <w:szCs w:val="22"/>
        </w:rPr>
        <w:t xml:space="preserve">e hiciera referencia al art.210 dado que el art. 54 se refiere a </w:t>
      </w:r>
      <w:r w:rsidR="005767C7" w:rsidRPr="005767C7">
        <w:rPr>
          <w:rFonts w:asciiTheme="minorHAnsi" w:hAnsiTheme="minorHAnsi" w:cstheme="minorHAnsi"/>
          <w:sz w:val="22"/>
          <w:szCs w:val="22"/>
        </w:rPr>
        <w:t>Mercados secundarios regulados</w:t>
      </w:r>
    </w:p>
    <w:p w:rsidR="00863818" w:rsidRPr="00350CDE" w:rsidRDefault="00863818"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Entendemos que las EAFI no estarían obligadas a tener el Comité de nombramientos</w:t>
      </w:r>
    </w:p>
    <w:p w:rsidR="009669F5" w:rsidRPr="00340797" w:rsidRDefault="00350CDE" w:rsidP="007E5BF7">
      <w:pPr>
        <w:pStyle w:val="Ttulo2"/>
        <w:rPr>
          <w:rFonts w:asciiTheme="minorHAnsi" w:hAnsiTheme="minorHAnsi" w:cstheme="minorHAnsi"/>
          <w:sz w:val="24"/>
          <w:szCs w:val="24"/>
        </w:rPr>
      </w:pPr>
      <w:bookmarkStart w:id="16" w:name="_Toc493227784"/>
      <w:r w:rsidRPr="00340797">
        <w:rPr>
          <w:rFonts w:asciiTheme="minorHAnsi" w:hAnsiTheme="minorHAnsi" w:cstheme="minorHAnsi"/>
          <w:sz w:val="24"/>
          <w:szCs w:val="24"/>
        </w:rPr>
        <w:t>1</w:t>
      </w:r>
      <w:r w:rsidR="00762F8F">
        <w:rPr>
          <w:rFonts w:asciiTheme="minorHAnsi" w:hAnsiTheme="minorHAnsi" w:cstheme="minorHAnsi"/>
          <w:sz w:val="24"/>
          <w:szCs w:val="24"/>
        </w:rPr>
        <w:t>2</w:t>
      </w:r>
      <w:r w:rsidRPr="00340797">
        <w:rPr>
          <w:rFonts w:asciiTheme="minorHAnsi" w:hAnsiTheme="minorHAnsi" w:cstheme="minorHAnsi"/>
          <w:sz w:val="24"/>
          <w:szCs w:val="24"/>
        </w:rPr>
        <w:t>.</w:t>
      </w:r>
      <w:r w:rsidR="006E6DEC" w:rsidRPr="00340797">
        <w:rPr>
          <w:rFonts w:asciiTheme="minorHAnsi" w:hAnsiTheme="minorHAnsi" w:cstheme="minorHAnsi"/>
          <w:sz w:val="24"/>
          <w:szCs w:val="24"/>
        </w:rPr>
        <w:t xml:space="preserve"> Aplicación proporcional de la norma</w:t>
      </w:r>
      <w:bookmarkEnd w:id="16"/>
    </w:p>
    <w:p w:rsidR="006E6DEC" w:rsidRPr="00350CDE" w:rsidRDefault="006E6DEC"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 xml:space="preserve">En numerosos artículos de la normativa se hace mención a la aplicación </w:t>
      </w:r>
      <w:r w:rsidR="00085E04" w:rsidRPr="00350CDE">
        <w:rPr>
          <w:rFonts w:asciiTheme="minorHAnsi" w:hAnsiTheme="minorHAnsi" w:cstheme="minorHAnsi"/>
          <w:sz w:val="22"/>
          <w:szCs w:val="22"/>
        </w:rPr>
        <w:t>“proporcionada al carácter, escala y complejidad de sus actividades”</w:t>
      </w:r>
    </w:p>
    <w:p w:rsidR="00006F88" w:rsidRDefault="00085E04"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En el caso de las Empresas de Asesoramiento Financiero, que solo pueden</w:t>
      </w:r>
      <w:r w:rsidR="00D80BEE" w:rsidRPr="00350CDE">
        <w:rPr>
          <w:rFonts w:asciiTheme="minorHAnsi" w:hAnsiTheme="minorHAnsi" w:cstheme="minorHAnsi"/>
          <w:sz w:val="22"/>
          <w:szCs w:val="22"/>
        </w:rPr>
        <w:t xml:space="preserve"> realizar un servicio de inversión, ASESORAMIENTO</w:t>
      </w:r>
      <w:r w:rsidRPr="00350CDE">
        <w:rPr>
          <w:rFonts w:asciiTheme="minorHAnsi" w:hAnsiTheme="minorHAnsi" w:cstheme="minorHAnsi"/>
          <w:sz w:val="22"/>
          <w:szCs w:val="22"/>
        </w:rPr>
        <w:t xml:space="preserve"> en materia de inversión, </w:t>
      </w:r>
      <w:r w:rsidR="00770144" w:rsidRPr="00350CDE">
        <w:rPr>
          <w:rFonts w:asciiTheme="minorHAnsi" w:hAnsiTheme="minorHAnsi" w:cstheme="minorHAnsi"/>
          <w:sz w:val="22"/>
          <w:szCs w:val="22"/>
        </w:rPr>
        <w:t xml:space="preserve">y, </w:t>
      </w:r>
      <w:r w:rsidRPr="00350CDE">
        <w:rPr>
          <w:rFonts w:asciiTheme="minorHAnsi" w:hAnsiTheme="minorHAnsi" w:cstheme="minorHAnsi"/>
          <w:sz w:val="22"/>
          <w:szCs w:val="22"/>
        </w:rPr>
        <w:t xml:space="preserve">en su gran mayoría sobre valores negociables, que cuentan con estructuras pequeñas en cuanto a socios, órgano de administración y trabajadores, esta aplicación proporcionada es </w:t>
      </w:r>
      <w:proofErr w:type="spellStart"/>
      <w:r w:rsidRPr="00350CDE">
        <w:rPr>
          <w:rFonts w:asciiTheme="minorHAnsi" w:hAnsiTheme="minorHAnsi" w:cstheme="minorHAnsi"/>
          <w:sz w:val="22"/>
          <w:szCs w:val="22"/>
        </w:rPr>
        <w:t>mas</w:t>
      </w:r>
      <w:proofErr w:type="spellEnd"/>
      <w:r w:rsidRPr="00350CDE">
        <w:rPr>
          <w:rFonts w:asciiTheme="minorHAnsi" w:hAnsiTheme="minorHAnsi" w:cstheme="minorHAnsi"/>
          <w:sz w:val="22"/>
          <w:szCs w:val="22"/>
        </w:rPr>
        <w:t xml:space="preserve"> necesaria. Además ésta actividad puede prestarse sin la debida autorización ni supervisión por parte de la CNMV, como es el caso cuando se presta de forma accesoria (Art. 5 Anteproyecto). </w:t>
      </w:r>
    </w:p>
    <w:p w:rsidR="001842A7" w:rsidRPr="00340797" w:rsidRDefault="00AF3D59" w:rsidP="001842A7">
      <w:pPr>
        <w:pStyle w:val="Ttulo3"/>
        <w:rPr>
          <w:rFonts w:asciiTheme="minorHAnsi" w:hAnsiTheme="minorHAnsi" w:cstheme="minorHAnsi"/>
          <w:sz w:val="24"/>
          <w:szCs w:val="24"/>
        </w:rPr>
      </w:pPr>
      <w:bookmarkStart w:id="17" w:name="_Toc493227785"/>
      <w:r>
        <w:rPr>
          <w:rFonts w:asciiTheme="minorHAnsi" w:hAnsiTheme="minorHAnsi" w:cstheme="minorHAnsi"/>
          <w:sz w:val="24"/>
          <w:szCs w:val="24"/>
        </w:rPr>
        <w:t>1</w:t>
      </w:r>
      <w:r w:rsidR="00762F8F">
        <w:rPr>
          <w:rFonts w:asciiTheme="minorHAnsi" w:hAnsiTheme="minorHAnsi" w:cstheme="minorHAnsi"/>
          <w:sz w:val="24"/>
          <w:szCs w:val="24"/>
        </w:rPr>
        <w:t>2</w:t>
      </w:r>
      <w:r w:rsidR="001842A7" w:rsidRPr="00340797">
        <w:rPr>
          <w:rFonts w:asciiTheme="minorHAnsi" w:hAnsiTheme="minorHAnsi" w:cstheme="minorHAnsi"/>
          <w:sz w:val="24"/>
          <w:szCs w:val="24"/>
        </w:rPr>
        <w:t xml:space="preserve">.1. </w:t>
      </w:r>
      <w:r w:rsidR="001842A7">
        <w:rPr>
          <w:rFonts w:asciiTheme="minorHAnsi" w:hAnsiTheme="minorHAnsi" w:cstheme="minorHAnsi"/>
          <w:sz w:val="24"/>
          <w:szCs w:val="24"/>
        </w:rPr>
        <w:t>Expertos externos y Funciones de Control</w:t>
      </w:r>
      <w:bookmarkEnd w:id="17"/>
      <w:r w:rsidR="001842A7" w:rsidRPr="00340797">
        <w:rPr>
          <w:rFonts w:asciiTheme="minorHAnsi" w:hAnsiTheme="minorHAnsi" w:cstheme="minorHAnsi"/>
          <w:sz w:val="24"/>
          <w:szCs w:val="24"/>
        </w:rPr>
        <w:t xml:space="preserve"> </w:t>
      </w:r>
    </w:p>
    <w:p w:rsidR="00085E04" w:rsidRPr="00350CDE" w:rsidRDefault="00006F88"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Las Empresas de Asesoramiento Financiero personas jurídicas con la normativa actual están obligadas a:</w:t>
      </w:r>
    </w:p>
    <w:p w:rsidR="00006F88" w:rsidRPr="00350CDE" w:rsidRDefault="00006F88" w:rsidP="00647FA9">
      <w:pPr>
        <w:pStyle w:val="Prrafodelista"/>
        <w:numPr>
          <w:ilvl w:val="0"/>
          <w:numId w:val="7"/>
        </w:numPr>
        <w:spacing w:before="120"/>
        <w:contextualSpacing w:val="0"/>
        <w:jc w:val="both"/>
        <w:rPr>
          <w:rFonts w:asciiTheme="minorHAnsi" w:hAnsiTheme="minorHAnsi" w:cstheme="minorHAnsi"/>
          <w:sz w:val="22"/>
          <w:szCs w:val="22"/>
        </w:rPr>
      </w:pPr>
      <w:r w:rsidRPr="00350CDE">
        <w:rPr>
          <w:rFonts w:asciiTheme="minorHAnsi" w:hAnsiTheme="minorHAnsi" w:cstheme="minorHAnsi"/>
          <w:sz w:val="22"/>
          <w:szCs w:val="22"/>
        </w:rPr>
        <w:t xml:space="preserve">Someter sus cuentas a </w:t>
      </w:r>
      <w:proofErr w:type="spellStart"/>
      <w:r w:rsidRPr="00350CDE">
        <w:rPr>
          <w:rFonts w:asciiTheme="minorHAnsi" w:hAnsiTheme="minorHAnsi" w:cstheme="minorHAnsi"/>
          <w:sz w:val="22"/>
          <w:szCs w:val="22"/>
        </w:rPr>
        <w:t>auditoria</w:t>
      </w:r>
      <w:proofErr w:type="spellEnd"/>
      <w:r w:rsidRPr="00350CDE">
        <w:rPr>
          <w:rFonts w:asciiTheme="minorHAnsi" w:hAnsiTheme="minorHAnsi" w:cstheme="minorHAnsi"/>
          <w:sz w:val="22"/>
          <w:szCs w:val="22"/>
        </w:rPr>
        <w:t xml:space="preserve"> de cuentas anuales, independientemente de su tamaño (volumen de activos, cifra de negocios, empleados</w:t>
      </w:r>
      <w:proofErr w:type="gramStart"/>
      <w:r w:rsidRPr="00350CDE">
        <w:rPr>
          <w:rFonts w:asciiTheme="minorHAnsi" w:hAnsiTheme="minorHAnsi" w:cstheme="minorHAnsi"/>
          <w:sz w:val="22"/>
          <w:szCs w:val="22"/>
        </w:rPr>
        <w:t>, ..)</w:t>
      </w:r>
      <w:proofErr w:type="gramEnd"/>
      <w:r w:rsidRPr="00350CDE">
        <w:rPr>
          <w:rFonts w:asciiTheme="minorHAnsi" w:hAnsiTheme="minorHAnsi" w:cstheme="minorHAnsi"/>
          <w:sz w:val="22"/>
          <w:szCs w:val="22"/>
        </w:rPr>
        <w:t xml:space="preserve"> </w:t>
      </w:r>
    </w:p>
    <w:p w:rsidR="00006F88" w:rsidRPr="00350CDE" w:rsidRDefault="00006F88" w:rsidP="00647FA9">
      <w:pPr>
        <w:pStyle w:val="Prrafodelista"/>
        <w:numPr>
          <w:ilvl w:val="0"/>
          <w:numId w:val="7"/>
        </w:numPr>
        <w:spacing w:before="120"/>
        <w:contextualSpacing w:val="0"/>
        <w:jc w:val="both"/>
        <w:rPr>
          <w:rFonts w:asciiTheme="minorHAnsi" w:hAnsiTheme="minorHAnsi" w:cstheme="minorHAnsi"/>
          <w:sz w:val="22"/>
          <w:szCs w:val="22"/>
        </w:rPr>
      </w:pPr>
      <w:r w:rsidRPr="00350CDE">
        <w:rPr>
          <w:rFonts w:asciiTheme="minorHAnsi" w:hAnsiTheme="minorHAnsi" w:cstheme="minorHAnsi"/>
          <w:sz w:val="22"/>
          <w:szCs w:val="22"/>
        </w:rPr>
        <w:t>Realizar un informe anual sobre Cumplimiento Normativo, otro de gestión de Riesgos y otro Auditoria interna, que puede ser realizado internamente o delegado en un tercero</w:t>
      </w:r>
    </w:p>
    <w:p w:rsidR="00006F88" w:rsidRPr="00350CDE" w:rsidRDefault="00006F88" w:rsidP="00647FA9">
      <w:pPr>
        <w:pStyle w:val="Prrafodelista"/>
        <w:numPr>
          <w:ilvl w:val="0"/>
          <w:numId w:val="7"/>
        </w:numPr>
        <w:spacing w:before="120"/>
        <w:contextualSpacing w:val="0"/>
        <w:jc w:val="both"/>
        <w:rPr>
          <w:rFonts w:asciiTheme="minorHAnsi" w:hAnsiTheme="minorHAnsi" w:cstheme="minorHAnsi"/>
          <w:sz w:val="22"/>
          <w:szCs w:val="22"/>
        </w:rPr>
      </w:pPr>
      <w:r w:rsidRPr="00350CDE">
        <w:rPr>
          <w:rFonts w:asciiTheme="minorHAnsi" w:hAnsiTheme="minorHAnsi" w:cstheme="minorHAnsi"/>
          <w:sz w:val="22"/>
          <w:szCs w:val="22"/>
        </w:rPr>
        <w:t>Realizar un informe anual sobre los procedimientos de prevención de blanqueo de capitales por un experto externo.</w:t>
      </w:r>
    </w:p>
    <w:p w:rsidR="00006F88" w:rsidRPr="00350CDE" w:rsidRDefault="00770144" w:rsidP="00647FA9">
      <w:pPr>
        <w:spacing w:before="120"/>
        <w:jc w:val="both"/>
        <w:rPr>
          <w:rFonts w:asciiTheme="minorHAnsi" w:hAnsiTheme="minorHAnsi" w:cstheme="minorHAnsi"/>
          <w:sz w:val="22"/>
          <w:szCs w:val="22"/>
        </w:rPr>
      </w:pPr>
      <w:r w:rsidRPr="00350CDE">
        <w:rPr>
          <w:rFonts w:asciiTheme="minorHAnsi" w:hAnsiTheme="minorHAnsi" w:cstheme="minorHAnsi"/>
          <w:sz w:val="22"/>
          <w:szCs w:val="22"/>
        </w:rPr>
        <w:t>Teniendo en cuenta que:</w:t>
      </w:r>
      <w:r w:rsidR="00006F88" w:rsidRPr="00350CDE">
        <w:rPr>
          <w:rFonts w:asciiTheme="minorHAnsi" w:hAnsiTheme="minorHAnsi" w:cstheme="minorHAnsi"/>
          <w:sz w:val="22"/>
          <w:szCs w:val="22"/>
        </w:rPr>
        <w:t xml:space="preserve"> </w:t>
      </w:r>
    </w:p>
    <w:p w:rsidR="00D80BEE" w:rsidRPr="00350CDE" w:rsidRDefault="00006F88" w:rsidP="008B1F96">
      <w:pPr>
        <w:pStyle w:val="Textoindependiente"/>
        <w:numPr>
          <w:ilvl w:val="0"/>
          <w:numId w:val="10"/>
        </w:numPr>
        <w:spacing w:before="120"/>
        <w:rPr>
          <w:rFonts w:asciiTheme="minorHAnsi" w:hAnsiTheme="minorHAnsi" w:cstheme="minorHAnsi"/>
          <w:color w:val="000000"/>
          <w:sz w:val="22"/>
          <w:szCs w:val="22"/>
        </w:rPr>
      </w:pPr>
      <w:r w:rsidRPr="00350CDE">
        <w:rPr>
          <w:rFonts w:asciiTheme="minorHAnsi" w:hAnsiTheme="minorHAnsi" w:cstheme="minorHAnsi"/>
          <w:color w:val="000000"/>
          <w:sz w:val="22"/>
          <w:szCs w:val="22"/>
        </w:rPr>
        <w:t xml:space="preserve">La actividad de las EAFI tienen un </w:t>
      </w:r>
      <w:r w:rsidR="00D80BEE" w:rsidRPr="00350CDE">
        <w:rPr>
          <w:rFonts w:asciiTheme="minorHAnsi" w:hAnsiTheme="minorHAnsi" w:cstheme="minorHAnsi"/>
          <w:color w:val="000000"/>
          <w:sz w:val="22"/>
          <w:szCs w:val="22"/>
        </w:rPr>
        <w:t>riesgo</w:t>
      </w:r>
      <w:r w:rsidRPr="00350CDE">
        <w:rPr>
          <w:rFonts w:asciiTheme="minorHAnsi" w:hAnsiTheme="minorHAnsi" w:cstheme="minorHAnsi"/>
          <w:color w:val="000000"/>
          <w:sz w:val="22"/>
          <w:szCs w:val="22"/>
        </w:rPr>
        <w:t xml:space="preserve"> menor </w:t>
      </w:r>
      <w:r w:rsidR="00D80BEE" w:rsidRPr="00350CDE">
        <w:rPr>
          <w:rFonts w:asciiTheme="minorHAnsi" w:hAnsiTheme="minorHAnsi" w:cstheme="minorHAnsi"/>
          <w:color w:val="000000"/>
          <w:sz w:val="22"/>
          <w:szCs w:val="22"/>
        </w:rPr>
        <w:t xml:space="preserve">que otro tipo de entidades, ya sean de </w:t>
      </w:r>
      <w:r w:rsidR="008B1F96" w:rsidRPr="00350CDE">
        <w:rPr>
          <w:rFonts w:asciiTheme="minorHAnsi" w:hAnsiTheme="minorHAnsi" w:cstheme="minorHAnsi"/>
          <w:color w:val="000000"/>
          <w:sz w:val="22"/>
          <w:szCs w:val="22"/>
        </w:rPr>
        <w:t>ESI</w:t>
      </w:r>
      <w:r w:rsidR="00D80BEE" w:rsidRPr="00350CDE">
        <w:rPr>
          <w:rFonts w:asciiTheme="minorHAnsi" w:hAnsiTheme="minorHAnsi" w:cstheme="minorHAnsi"/>
          <w:color w:val="000000"/>
          <w:sz w:val="22"/>
          <w:szCs w:val="22"/>
        </w:rPr>
        <w:t xml:space="preserve"> o </w:t>
      </w:r>
      <w:r w:rsidR="008B1F96" w:rsidRPr="00350CDE">
        <w:rPr>
          <w:rFonts w:asciiTheme="minorHAnsi" w:hAnsiTheme="minorHAnsi" w:cstheme="minorHAnsi"/>
          <w:color w:val="000000"/>
          <w:sz w:val="22"/>
          <w:szCs w:val="22"/>
        </w:rPr>
        <w:t xml:space="preserve">entidades de </w:t>
      </w:r>
      <w:r w:rsidR="00D80BEE" w:rsidRPr="00350CDE">
        <w:rPr>
          <w:rFonts w:asciiTheme="minorHAnsi" w:hAnsiTheme="minorHAnsi" w:cstheme="minorHAnsi"/>
          <w:color w:val="000000"/>
          <w:sz w:val="22"/>
          <w:szCs w:val="22"/>
        </w:rPr>
        <w:t>crédito</w:t>
      </w:r>
      <w:r w:rsidRPr="00350CDE">
        <w:rPr>
          <w:rFonts w:asciiTheme="minorHAnsi" w:hAnsiTheme="minorHAnsi" w:cstheme="minorHAnsi"/>
          <w:color w:val="000000"/>
          <w:sz w:val="22"/>
          <w:szCs w:val="22"/>
        </w:rPr>
        <w:t>,</w:t>
      </w:r>
      <w:r w:rsidR="00D80BEE" w:rsidRPr="00350CDE">
        <w:rPr>
          <w:rFonts w:asciiTheme="minorHAnsi" w:hAnsiTheme="minorHAnsi" w:cstheme="minorHAnsi"/>
          <w:color w:val="000000"/>
          <w:sz w:val="22"/>
          <w:szCs w:val="22"/>
        </w:rPr>
        <w:t xml:space="preserve"> de</w:t>
      </w:r>
      <w:r w:rsidR="00770144" w:rsidRPr="00350CDE">
        <w:rPr>
          <w:rFonts w:asciiTheme="minorHAnsi" w:hAnsiTheme="minorHAnsi" w:cstheme="minorHAnsi"/>
          <w:color w:val="000000"/>
          <w:sz w:val="22"/>
          <w:szCs w:val="22"/>
        </w:rPr>
        <w:t xml:space="preserve"> </w:t>
      </w:r>
      <w:r w:rsidR="008B1F96" w:rsidRPr="00350CDE">
        <w:rPr>
          <w:rFonts w:asciiTheme="minorHAnsi" w:hAnsiTheme="minorHAnsi" w:cstheme="minorHAnsi"/>
          <w:color w:val="000000"/>
          <w:sz w:val="22"/>
          <w:szCs w:val="22"/>
        </w:rPr>
        <w:t>c</w:t>
      </w:r>
      <w:r w:rsidR="00D80BEE" w:rsidRPr="00350CDE">
        <w:rPr>
          <w:rFonts w:asciiTheme="minorHAnsi" w:hAnsiTheme="minorHAnsi" w:cstheme="minorHAnsi"/>
          <w:color w:val="000000"/>
          <w:sz w:val="22"/>
          <w:szCs w:val="22"/>
        </w:rPr>
        <w:t>onfundir Asesoramiento con comercialización de instrumentos financieros</w:t>
      </w:r>
      <w:r w:rsidR="008B1F96" w:rsidRPr="00350CDE">
        <w:rPr>
          <w:rFonts w:asciiTheme="minorHAnsi" w:hAnsiTheme="minorHAnsi" w:cstheme="minorHAnsi"/>
          <w:color w:val="000000"/>
          <w:sz w:val="22"/>
          <w:szCs w:val="22"/>
        </w:rPr>
        <w:t xml:space="preserve">, o con gestión </w:t>
      </w:r>
      <w:r w:rsidR="00D80BEE" w:rsidRPr="00350CDE">
        <w:rPr>
          <w:rFonts w:asciiTheme="minorHAnsi" w:hAnsiTheme="minorHAnsi" w:cstheme="minorHAnsi"/>
          <w:color w:val="000000"/>
          <w:sz w:val="22"/>
          <w:szCs w:val="22"/>
        </w:rPr>
        <w:t>de patrimonios</w:t>
      </w:r>
    </w:p>
    <w:p w:rsidR="00D80BEE" w:rsidRPr="00350CDE" w:rsidRDefault="00D80BEE" w:rsidP="00647FA9">
      <w:pPr>
        <w:pStyle w:val="Textoindependiente"/>
        <w:numPr>
          <w:ilvl w:val="0"/>
          <w:numId w:val="10"/>
        </w:numPr>
        <w:spacing w:before="120"/>
        <w:rPr>
          <w:rFonts w:asciiTheme="minorHAnsi" w:hAnsiTheme="minorHAnsi" w:cstheme="minorHAnsi"/>
          <w:color w:val="000000"/>
          <w:sz w:val="22"/>
          <w:szCs w:val="22"/>
        </w:rPr>
      </w:pPr>
      <w:r w:rsidRPr="00350CDE">
        <w:rPr>
          <w:rFonts w:asciiTheme="minorHAnsi" w:hAnsiTheme="minorHAnsi" w:cstheme="minorHAnsi"/>
          <w:color w:val="000000"/>
          <w:sz w:val="22"/>
          <w:szCs w:val="22"/>
        </w:rPr>
        <w:t xml:space="preserve">Así mismo los conflictos de interés que se pudieran generar, son de fácil detección, al prestar un solo servicio de inversión. </w:t>
      </w:r>
    </w:p>
    <w:p w:rsidR="00D80BEE" w:rsidRPr="00350CDE" w:rsidRDefault="00D80BEE" w:rsidP="008B1F96">
      <w:pPr>
        <w:pStyle w:val="Textoindependiente"/>
        <w:numPr>
          <w:ilvl w:val="0"/>
          <w:numId w:val="10"/>
        </w:numPr>
        <w:spacing w:before="120"/>
        <w:rPr>
          <w:rFonts w:asciiTheme="minorHAnsi" w:hAnsiTheme="minorHAnsi" w:cstheme="minorHAnsi"/>
          <w:color w:val="000000"/>
          <w:sz w:val="22"/>
          <w:szCs w:val="22"/>
        </w:rPr>
      </w:pPr>
      <w:r w:rsidRPr="00350CDE">
        <w:rPr>
          <w:rFonts w:asciiTheme="minorHAnsi" w:hAnsiTheme="minorHAnsi" w:cstheme="minorHAnsi"/>
          <w:color w:val="000000"/>
          <w:sz w:val="22"/>
          <w:szCs w:val="22"/>
        </w:rPr>
        <w:t>En ningún caso la EAFI puede, al contrario que otras entidades</w:t>
      </w:r>
      <w:r w:rsidR="008B1F96" w:rsidRPr="00350CDE">
        <w:rPr>
          <w:rFonts w:asciiTheme="minorHAnsi" w:hAnsiTheme="minorHAnsi" w:cstheme="minorHAnsi"/>
          <w:color w:val="000000"/>
          <w:sz w:val="22"/>
          <w:szCs w:val="22"/>
        </w:rPr>
        <w:t xml:space="preserve"> mencionadas, r</w:t>
      </w:r>
      <w:r w:rsidRPr="00350CDE">
        <w:rPr>
          <w:rFonts w:asciiTheme="minorHAnsi" w:hAnsiTheme="minorHAnsi" w:cstheme="minorHAnsi"/>
          <w:color w:val="000000"/>
          <w:sz w:val="22"/>
          <w:szCs w:val="22"/>
        </w:rPr>
        <w:t>ecibir fondos de los clientes</w:t>
      </w:r>
      <w:r w:rsidR="008B1F96" w:rsidRPr="00350CDE">
        <w:rPr>
          <w:rFonts w:asciiTheme="minorHAnsi" w:hAnsiTheme="minorHAnsi" w:cstheme="minorHAnsi"/>
          <w:color w:val="000000"/>
          <w:sz w:val="22"/>
          <w:szCs w:val="22"/>
        </w:rPr>
        <w:t>, ni recibir, t</w:t>
      </w:r>
      <w:r w:rsidRPr="00350CDE">
        <w:rPr>
          <w:rFonts w:asciiTheme="minorHAnsi" w:hAnsiTheme="minorHAnsi" w:cstheme="minorHAnsi"/>
          <w:color w:val="000000"/>
          <w:sz w:val="22"/>
          <w:szCs w:val="22"/>
        </w:rPr>
        <w:t>ramitar y/o ejecutar las órdenes de los clientes</w:t>
      </w:r>
    </w:p>
    <w:p w:rsidR="00D80BEE" w:rsidRPr="00350CDE" w:rsidRDefault="00D80BEE" w:rsidP="00647FA9">
      <w:pPr>
        <w:pStyle w:val="Textoindependiente"/>
        <w:numPr>
          <w:ilvl w:val="0"/>
          <w:numId w:val="10"/>
        </w:numPr>
        <w:spacing w:before="120"/>
        <w:rPr>
          <w:rFonts w:asciiTheme="minorHAnsi" w:hAnsiTheme="minorHAnsi" w:cstheme="minorHAnsi"/>
          <w:color w:val="000000"/>
          <w:sz w:val="22"/>
          <w:szCs w:val="22"/>
        </w:rPr>
      </w:pPr>
      <w:r w:rsidRPr="00350CDE">
        <w:rPr>
          <w:rFonts w:asciiTheme="minorHAnsi" w:hAnsiTheme="minorHAnsi" w:cstheme="minorHAnsi"/>
          <w:color w:val="000000"/>
          <w:sz w:val="22"/>
          <w:szCs w:val="22"/>
        </w:rPr>
        <w:t>Estas entidades, al ser estructuras, en la mayor parte de los casos pequeñas, los riesgos reales y potenciales son fác</w:t>
      </w:r>
      <w:r w:rsidR="008B1F96" w:rsidRPr="00350CDE">
        <w:rPr>
          <w:rFonts w:asciiTheme="minorHAnsi" w:hAnsiTheme="minorHAnsi" w:cstheme="minorHAnsi"/>
          <w:color w:val="000000"/>
          <w:sz w:val="22"/>
          <w:szCs w:val="22"/>
        </w:rPr>
        <w:t>iles de identificar y gestionar</w:t>
      </w:r>
    </w:p>
    <w:p w:rsidR="00D663E6" w:rsidRPr="00350CDE" w:rsidRDefault="00D80BEE" w:rsidP="008B1F96">
      <w:pPr>
        <w:pStyle w:val="Textoindependiente"/>
        <w:spacing w:before="120"/>
        <w:rPr>
          <w:rFonts w:asciiTheme="minorHAnsi" w:hAnsiTheme="minorHAnsi" w:cstheme="minorHAnsi"/>
          <w:b/>
          <w:bCs/>
          <w:sz w:val="22"/>
          <w:szCs w:val="22"/>
        </w:rPr>
      </w:pPr>
      <w:r w:rsidRPr="00350CDE">
        <w:rPr>
          <w:rFonts w:asciiTheme="minorHAnsi" w:hAnsiTheme="minorHAnsi" w:cstheme="minorHAnsi"/>
          <w:sz w:val="22"/>
          <w:szCs w:val="22"/>
        </w:rPr>
        <w:lastRenderedPageBreak/>
        <w:t xml:space="preserve">Por tanto, desde el punto de vista de la naturaleza, volumen y complejidad del servicio prestado, entendemos que la mayoría de las EAFI, </w:t>
      </w:r>
      <w:r w:rsidRPr="00350CDE">
        <w:rPr>
          <w:rFonts w:asciiTheme="minorHAnsi" w:hAnsiTheme="minorHAnsi" w:cstheme="minorHAnsi"/>
          <w:b/>
          <w:bCs/>
          <w:sz w:val="22"/>
          <w:szCs w:val="22"/>
        </w:rPr>
        <w:t>ni cuantitativa ni cualitativamente tienen capacidad para</w:t>
      </w:r>
      <w:r w:rsidR="00D663E6" w:rsidRPr="00350CDE">
        <w:rPr>
          <w:rFonts w:asciiTheme="minorHAnsi" w:hAnsiTheme="minorHAnsi" w:cstheme="minorHAnsi"/>
          <w:b/>
          <w:bCs/>
          <w:sz w:val="22"/>
          <w:szCs w:val="22"/>
        </w:rPr>
        <w:t>:</w:t>
      </w:r>
    </w:p>
    <w:p w:rsidR="00D663E6" w:rsidRPr="00350CDE" w:rsidRDefault="001F7047" w:rsidP="008B1F96">
      <w:pPr>
        <w:pStyle w:val="Textoindependiente"/>
        <w:numPr>
          <w:ilvl w:val="0"/>
          <w:numId w:val="12"/>
        </w:numPr>
        <w:spacing w:before="120"/>
        <w:ind w:left="360"/>
        <w:rPr>
          <w:rFonts w:asciiTheme="minorHAnsi" w:hAnsiTheme="minorHAnsi" w:cstheme="minorHAnsi"/>
          <w:sz w:val="22"/>
          <w:szCs w:val="22"/>
        </w:rPr>
      </w:pPr>
      <w:r>
        <w:rPr>
          <w:rFonts w:asciiTheme="minorHAnsi" w:hAnsiTheme="minorHAnsi" w:cstheme="minorHAnsi"/>
          <w:bCs/>
          <w:sz w:val="22"/>
          <w:szCs w:val="22"/>
        </w:rPr>
        <w:t xml:space="preserve">Contar con </w:t>
      </w:r>
      <w:r w:rsidR="00D80BEE" w:rsidRPr="00350CDE">
        <w:rPr>
          <w:rFonts w:asciiTheme="minorHAnsi" w:hAnsiTheme="minorHAnsi" w:cstheme="minorHAnsi"/>
          <w:bCs/>
          <w:sz w:val="22"/>
          <w:szCs w:val="22"/>
        </w:rPr>
        <w:t>una unidad de control dedicada que realice las funciones de cumplimiento normativo, gestión de riesgos y auditoría interna</w:t>
      </w:r>
      <w:r w:rsidR="00D80BEE" w:rsidRPr="00350CDE">
        <w:rPr>
          <w:rFonts w:asciiTheme="minorHAnsi" w:hAnsiTheme="minorHAnsi" w:cstheme="minorHAnsi"/>
          <w:sz w:val="22"/>
          <w:szCs w:val="22"/>
        </w:rPr>
        <w:t xml:space="preserve">. </w:t>
      </w:r>
    </w:p>
    <w:p w:rsidR="00D663E6" w:rsidRPr="00273831" w:rsidRDefault="001F7047" w:rsidP="008B1F96">
      <w:pPr>
        <w:pStyle w:val="Textoindependiente"/>
        <w:numPr>
          <w:ilvl w:val="0"/>
          <w:numId w:val="12"/>
        </w:numPr>
        <w:spacing w:before="120"/>
        <w:ind w:left="360"/>
        <w:rPr>
          <w:rFonts w:asciiTheme="minorHAnsi" w:hAnsiTheme="minorHAnsi" w:cstheme="minorHAnsi"/>
          <w:sz w:val="22"/>
          <w:szCs w:val="22"/>
        </w:rPr>
      </w:pPr>
      <w:r>
        <w:rPr>
          <w:rFonts w:asciiTheme="minorHAnsi" w:hAnsiTheme="minorHAnsi" w:cstheme="minorHAnsi"/>
          <w:bCs/>
          <w:sz w:val="22"/>
          <w:szCs w:val="22"/>
        </w:rPr>
        <w:t xml:space="preserve">Contratar a un auditor de cuentas para auditar las </w:t>
      </w:r>
      <w:r w:rsidR="00BF3FD9" w:rsidRPr="00350CDE">
        <w:rPr>
          <w:rFonts w:asciiTheme="minorHAnsi" w:hAnsiTheme="minorHAnsi" w:cstheme="minorHAnsi"/>
          <w:bCs/>
          <w:sz w:val="22"/>
          <w:szCs w:val="22"/>
        </w:rPr>
        <w:t xml:space="preserve">cuentas anuales </w:t>
      </w:r>
      <w:r>
        <w:rPr>
          <w:rFonts w:asciiTheme="minorHAnsi" w:hAnsiTheme="minorHAnsi" w:cstheme="minorHAnsi"/>
          <w:bCs/>
          <w:sz w:val="22"/>
          <w:szCs w:val="22"/>
        </w:rPr>
        <w:t>(generalmente de empresas de reducida dimensión)</w:t>
      </w:r>
      <w:r w:rsidR="00D663E6" w:rsidRPr="00350CDE">
        <w:rPr>
          <w:rFonts w:asciiTheme="minorHAnsi" w:hAnsiTheme="minorHAnsi" w:cstheme="minorHAnsi"/>
          <w:bCs/>
          <w:sz w:val="22"/>
          <w:szCs w:val="22"/>
        </w:rPr>
        <w:t>. Hay que tener en cuenta que los umbrales recogidos en la Ley de sociedades de Capital para realizar auditoría de cuentas, muy superiores a las cifras de la totalidad de las EAFI actuales, son los siguientes</w:t>
      </w:r>
      <w:r w:rsidR="00D663E6" w:rsidRPr="00350CDE">
        <w:rPr>
          <w:rFonts w:asciiTheme="minorHAnsi" w:hAnsiTheme="minorHAnsi" w:cstheme="minorHAnsi"/>
          <w:b/>
          <w:bCs/>
          <w:sz w:val="22"/>
          <w:szCs w:val="22"/>
        </w:rPr>
        <w:t>:</w:t>
      </w:r>
    </w:p>
    <w:p w:rsidR="00273831" w:rsidRPr="00273831" w:rsidRDefault="00D81F50" w:rsidP="00D81F50">
      <w:pPr>
        <w:pStyle w:val="Textoindependiente"/>
        <w:ind w:left="709"/>
        <w:rPr>
          <w:rFonts w:asciiTheme="minorHAnsi" w:hAnsiTheme="minorHAnsi" w:cstheme="minorHAnsi"/>
          <w:i/>
          <w:sz w:val="22"/>
          <w:szCs w:val="22"/>
        </w:rPr>
      </w:pPr>
      <w:r>
        <w:rPr>
          <w:rFonts w:asciiTheme="minorHAnsi" w:hAnsiTheme="minorHAnsi" w:cstheme="minorHAnsi"/>
          <w:i/>
          <w:sz w:val="22"/>
          <w:szCs w:val="22"/>
        </w:rPr>
        <w:t>“</w:t>
      </w:r>
      <w:r w:rsidR="00273831" w:rsidRPr="00273831">
        <w:rPr>
          <w:rFonts w:asciiTheme="minorHAnsi" w:hAnsiTheme="minorHAnsi" w:cstheme="minorHAnsi"/>
          <w:i/>
          <w:sz w:val="22"/>
          <w:szCs w:val="22"/>
        </w:rPr>
        <w:t>Artículo 263 Auditor de cuentas</w:t>
      </w:r>
    </w:p>
    <w:p w:rsidR="00273831" w:rsidRPr="00273831" w:rsidRDefault="00273831" w:rsidP="00D81F50">
      <w:pPr>
        <w:pStyle w:val="Textoindependiente"/>
        <w:ind w:left="709"/>
        <w:rPr>
          <w:rFonts w:asciiTheme="minorHAnsi" w:hAnsiTheme="minorHAnsi" w:cstheme="minorHAnsi"/>
          <w:i/>
          <w:sz w:val="22"/>
          <w:szCs w:val="22"/>
        </w:rPr>
      </w:pPr>
      <w:r w:rsidRPr="00273831">
        <w:rPr>
          <w:rFonts w:asciiTheme="minorHAnsi" w:hAnsiTheme="minorHAnsi" w:cstheme="minorHAnsi"/>
          <w:i/>
          <w:sz w:val="22"/>
          <w:szCs w:val="22"/>
        </w:rPr>
        <w:t xml:space="preserve">1. Las cuentas anuales y, en su caso, el informe de gestión </w:t>
      </w:r>
      <w:proofErr w:type="gramStart"/>
      <w:r w:rsidRPr="00273831">
        <w:rPr>
          <w:rFonts w:asciiTheme="minorHAnsi" w:hAnsiTheme="minorHAnsi" w:cstheme="minorHAnsi"/>
          <w:i/>
          <w:sz w:val="22"/>
          <w:szCs w:val="22"/>
        </w:rPr>
        <w:t>deberán</w:t>
      </w:r>
      <w:proofErr w:type="gramEnd"/>
      <w:r w:rsidRPr="00273831">
        <w:rPr>
          <w:rFonts w:asciiTheme="minorHAnsi" w:hAnsiTheme="minorHAnsi" w:cstheme="minorHAnsi"/>
          <w:i/>
          <w:sz w:val="22"/>
          <w:szCs w:val="22"/>
        </w:rPr>
        <w:t xml:space="preserve"> ser revisados por auditor de cuentas.</w:t>
      </w:r>
    </w:p>
    <w:p w:rsidR="00273831" w:rsidRPr="00273831" w:rsidRDefault="00273831" w:rsidP="00D81F50">
      <w:pPr>
        <w:pStyle w:val="Textoindependiente"/>
        <w:ind w:left="709"/>
        <w:rPr>
          <w:rFonts w:asciiTheme="minorHAnsi" w:hAnsiTheme="minorHAnsi" w:cstheme="minorHAnsi"/>
          <w:i/>
          <w:sz w:val="22"/>
          <w:szCs w:val="22"/>
        </w:rPr>
      </w:pPr>
      <w:r w:rsidRPr="00273831">
        <w:rPr>
          <w:rFonts w:asciiTheme="minorHAnsi" w:hAnsiTheme="minorHAnsi" w:cstheme="minorHAnsi"/>
          <w:i/>
          <w:sz w:val="22"/>
          <w:szCs w:val="22"/>
        </w:rPr>
        <w:t>2. Se exceptúa de esta obligación a las sociedades que durante dos ejercicios consecutivos reúnan, a la fecha de cierre de cada uno de ellos, al menos dos de las circunstancias siguientes:</w:t>
      </w:r>
    </w:p>
    <w:p w:rsidR="00273831" w:rsidRPr="00273831" w:rsidRDefault="00273831" w:rsidP="00D81F50">
      <w:pPr>
        <w:pStyle w:val="Textoindependiente"/>
        <w:ind w:left="709"/>
        <w:rPr>
          <w:rFonts w:asciiTheme="minorHAnsi" w:hAnsiTheme="minorHAnsi" w:cstheme="minorHAnsi"/>
          <w:i/>
          <w:sz w:val="22"/>
          <w:szCs w:val="22"/>
          <w:u w:val="single"/>
        </w:rPr>
      </w:pPr>
      <w:r w:rsidRPr="00273831">
        <w:rPr>
          <w:rFonts w:asciiTheme="minorHAnsi" w:hAnsiTheme="minorHAnsi" w:cstheme="minorHAnsi"/>
          <w:i/>
          <w:sz w:val="22"/>
          <w:szCs w:val="22"/>
        </w:rPr>
        <w:t xml:space="preserve">a) Que el total de las partidas del activo no supere los </w:t>
      </w:r>
      <w:r w:rsidRPr="00273831">
        <w:rPr>
          <w:rFonts w:asciiTheme="minorHAnsi" w:hAnsiTheme="minorHAnsi" w:cstheme="minorHAnsi"/>
          <w:i/>
          <w:sz w:val="22"/>
          <w:szCs w:val="22"/>
          <w:u w:val="single"/>
        </w:rPr>
        <w:t>dos millones ochocientos cincuenta mil euros.</w:t>
      </w:r>
    </w:p>
    <w:p w:rsidR="00273831" w:rsidRPr="00273831" w:rsidRDefault="00273831" w:rsidP="00D81F50">
      <w:pPr>
        <w:pStyle w:val="Textoindependiente"/>
        <w:ind w:left="709"/>
        <w:rPr>
          <w:rFonts w:asciiTheme="minorHAnsi" w:hAnsiTheme="minorHAnsi" w:cstheme="minorHAnsi"/>
          <w:i/>
          <w:sz w:val="22"/>
          <w:szCs w:val="22"/>
        </w:rPr>
      </w:pPr>
      <w:r w:rsidRPr="00273831">
        <w:rPr>
          <w:rFonts w:asciiTheme="minorHAnsi" w:hAnsiTheme="minorHAnsi" w:cstheme="minorHAnsi"/>
          <w:i/>
          <w:sz w:val="22"/>
          <w:szCs w:val="22"/>
        </w:rPr>
        <w:t xml:space="preserve">b) Que el importe neto de su cifra anual de negocios no supere </w:t>
      </w:r>
      <w:r w:rsidRPr="00273831">
        <w:rPr>
          <w:rFonts w:asciiTheme="minorHAnsi" w:hAnsiTheme="minorHAnsi" w:cstheme="minorHAnsi"/>
          <w:i/>
          <w:sz w:val="22"/>
          <w:szCs w:val="22"/>
          <w:u w:val="single"/>
        </w:rPr>
        <w:t>los cinco millones setecientos mil euros</w:t>
      </w:r>
      <w:r w:rsidRPr="00273831">
        <w:rPr>
          <w:rFonts w:asciiTheme="minorHAnsi" w:hAnsiTheme="minorHAnsi" w:cstheme="minorHAnsi"/>
          <w:i/>
          <w:sz w:val="22"/>
          <w:szCs w:val="22"/>
        </w:rPr>
        <w:t>.</w:t>
      </w:r>
    </w:p>
    <w:p w:rsidR="00273831" w:rsidRPr="00273831" w:rsidRDefault="00273831" w:rsidP="00D81F50">
      <w:pPr>
        <w:pStyle w:val="Textoindependiente"/>
        <w:ind w:left="709"/>
        <w:rPr>
          <w:rFonts w:asciiTheme="minorHAnsi" w:hAnsiTheme="minorHAnsi" w:cstheme="minorHAnsi"/>
          <w:i/>
          <w:sz w:val="22"/>
          <w:szCs w:val="22"/>
        </w:rPr>
      </w:pPr>
      <w:r w:rsidRPr="00273831">
        <w:rPr>
          <w:rFonts w:asciiTheme="minorHAnsi" w:hAnsiTheme="minorHAnsi" w:cstheme="minorHAnsi"/>
          <w:i/>
          <w:sz w:val="22"/>
          <w:szCs w:val="22"/>
        </w:rPr>
        <w:t xml:space="preserve">c) Que el número medio de trabajadores empleados durante el ejercicio no sea superior a </w:t>
      </w:r>
      <w:r w:rsidRPr="00273831">
        <w:rPr>
          <w:rFonts w:asciiTheme="minorHAnsi" w:hAnsiTheme="minorHAnsi" w:cstheme="minorHAnsi"/>
          <w:i/>
          <w:sz w:val="22"/>
          <w:szCs w:val="22"/>
          <w:u w:val="single"/>
        </w:rPr>
        <w:t>cincuenta</w:t>
      </w:r>
      <w:r w:rsidRPr="00273831">
        <w:rPr>
          <w:rFonts w:asciiTheme="minorHAnsi" w:hAnsiTheme="minorHAnsi" w:cstheme="minorHAnsi"/>
          <w:i/>
          <w:sz w:val="22"/>
          <w:szCs w:val="22"/>
        </w:rPr>
        <w:t>.</w:t>
      </w:r>
      <w:r w:rsidR="00D81F50">
        <w:rPr>
          <w:rFonts w:asciiTheme="minorHAnsi" w:hAnsiTheme="minorHAnsi" w:cstheme="minorHAnsi"/>
          <w:i/>
          <w:sz w:val="22"/>
          <w:szCs w:val="22"/>
        </w:rPr>
        <w:t>”</w:t>
      </w:r>
    </w:p>
    <w:p w:rsidR="00273831" w:rsidRDefault="00273831" w:rsidP="00273831">
      <w:pPr>
        <w:pStyle w:val="Textoindependiente"/>
        <w:rPr>
          <w:rFonts w:asciiTheme="minorHAnsi" w:hAnsiTheme="minorHAnsi" w:cstheme="minorHAnsi"/>
          <w:i/>
          <w:sz w:val="22"/>
          <w:szCs w:val="22"/>
        </w:rPr>
      </w:pPr>
    </w:p>
    <w:p w:rsidR="00D663E6" w:rsidRPr="00350CDE" w:rsidRDefault="00BF3FD9" w:rsidP="008B1F96">
      <w:pPr>
        <w:pStyle w:val="Textoindependiente"/>
        <w:numPr>
          <w:ilvl w:val="0"/>
          <w:numId w:val="12"/>
        </w:numPr>
        <w:spacing w:before="120"/>
        <w:ind w:left="360"/>
        <w:rPr>
          <w:rFonts w:asciiTheme="minorHAnsi" w:hAnsiTheme="minorHAnsi" w:cstheme="minorHAnsi"/>
          <w:bCs/>
          <w:sz w:val="22"/>
          <w:szCs w:val="22"/>
        </w:rPr>
      </w:pPr>
      <w:r w:rsidRPr="00350CDE">
        <w:rPr>
          <w:rFonts w:asciiTheme="minorHAnsi" w:hAnsiTheme="minorHAnsi" w:cstheme="minorHAnsi"/>
          <w:bCs/>
          <w:sz w:val="22"/>
          <w:szCs w:val="22"/>
        </w:rPr>
        <w:t>Tener una “auditoría” de</w:t>
      </w:r>
      <w:r w:rsidR="00273831">
        <w:rPr>
          <w:rFonts w:asciiTheme="minorHAnsi" w:hAnsiTheme="minorHAnsi" w:cstheme="minorHAnsi"/>
          <w:bCs/>
          <w:sz w:val="22"/>
          <w:szCs w:val="22"/>
        </w:rPr>
        <w:t xml:space="preserve"> los procedimientos de prevenció</w:t>
      </w:r>
      <w:r w:rsidRPr="00350CDE">
        <w:rPr>
          <w:rFonts w:asciiTheme="minorHAnsi" w:hAnsiTheme="minorHAnsi" w:cstheme="minorHAnsi"/>
          <w:bCs/>
          <w:sz w:val="22"/>
          <w:szCs w:val="22"/>
        </w:rPr>
        <w:t>n de Blanqueo de capitales de acuerdo a la Ley 10/2010, cuando se trata de entidades que:</w:t>
      </w:r>
    </w:p>
    <w:p w:rsidR="008B1F96" w:rsidRPr="00350CDE" w:rsidRDefault="00BF3FD9" w:rsidP="00647FA9">
      <w:pPr>
        <w:pStyle w:val="Textoindependiente"/>
        <w:numPr>
          <w:ilvl w:val="0"/>
          <w:numId w:val="15"/>
        </w:numPr>
        <w:spacing w:before="120"/>
        <w:rPr>
          <w:rFonts w:asciiTheme="minorHAnsi" w:hAnsiTheme="minorHAnsi" w:cstheme="minorHAnsi"/>
          <w:sz w:val="22"/>
          <w:szCs w:val="22"/>
        </w:rPr>
      </w:pPr>
      <w:r w:rsidRPr="00350CDE">
        <w:rPr>
          <w:rFonts w:asciiTheme="minorHAnsi" w:hAnsiTheme="minorHAnsi" w:cstheme="minorHAnsi"/>
          <w:sz w:val="22"/>
          <w:szCs w:val="22"/>
        </w:rPr>
        <w:t>No reciben fondos de clientes</w:t>
      </w:r>
    </w:p>
    <w:p w:rsidR="008B1F96" w:rsidRPr="00350CDE" w:rsidRDefault="00BF3FD9" w:rsidP="00647FA9">
      <w:pPr>
        <w:pStyle w:val="Textoindependiente"/>
        <w:numPr>
          <w:ilvl w:val="0"/>
          <w:numId w:val="15"/>
        </w:numPr>
        <w:spacing w:before="120"/>
        <w:rPr>
          <w:rFonts w:asciiTheme="minorHAnsi" w:hAnsiTheme="minorHAnsi" w:cstheme="minorHAnsi"/>
          <w:sz w:val="22"/>
          <w:szCs w:val="22"/>
        </w:rPr>
      </w:pPr>
      <w:r w:rsidRPr="00350CDE">
        <w:rPr>
          <w:rFonts w:asciiTheme="minorHAnsi" w:hAnsiTheme="minorHAnsi" w:cstheme="minorHAnsi"/>
          <w:sz w:val="22"/>
          <w:szCs w:val="22"/>
        </w:rPr>
        <w:t>No intermedian en las operaciones de clientes</w:t>
      </w:r>
      <w:r w:rsidR="008B1F96" w:rsidRPr="00350CDE">
        <w:rPr>
          <w:rFonts w:asciiTheme="minorHAnsi" w:hAnsiTheme="minorHAnsi" w:cstheme="minorHAnsi"/>
          <w:sz w:val="22"/>
          <w:szCs w:val="22"/>
        </w:rPr>
        <w:t xml:space="preserve"> </w:t>
      </w:r>
    </w:p>
    <w:p w:rsidR="008B1F96" w:rsidRPr="00350CDE" w:rsidRDefault="00BF3FD9" w:rsidP="00647FA9">
      <w:pPr>
        <w:pStyle w:val="Textoindependiente"/>
        <w:numPr>
          <w:ilvl w:val="0"/>
          <w:numId w:val="15"/>
        </w:numPr>
        <w:spacing w:before="120"/>
        <w:rPr>
          <w:rFonts w:asciiTheme="minorHAnsi" w:hAnsiTheme="minorHAnsi" w:cstheme="minorHAnsi"/>
          <w:sz w:val="22"/>
          <w:szCs w:val="22"/>
        </w:rPr>
      </w:pPr>
      <w:r w:rsidRPr="00350CDE">
        <w:rPr>
          <w:rFonts w:asciiTheme="minorHAnsi" w:hAnsiTheme="minorHAnsi" w:cstheme="minorHAnsi"/>
          <w:sz w:val="22"/>
          <w:szCs w:val="22"/>
        </w:rPr>
        <w:t>Los patrimonios que se asesoran, están depositados en su mayoría en entidades financieras de la Uni</w:t>
      </w:r>
      <w:r w:rsidR="002E774B">
        <w:rPr>
          <w:rFonts w:asciiTheme="minorHAnsi" w:hAnsiTheme="minorHAnsi" w:cstheme="minorHAnsi"/>
          <w:sz w:val="22"/>
          <w:szCs w:val="22"/>
        </w:rPr>
        <w:t>ó</w:t>
      </w:r>
      <w:r w:rsidRPr="00350CDE">
        <w:rPr>
          <w:rFonts w:asciiTheme="minorHAnsi" w:hAnsiTheme="minorHAnsi" w:cstheme="minorHAnsi"/>
          <w:sz w:val="22"/>
          <w:szCs w:val="22"/>
        </w:rPr>
        <w:t xml:space="preserve">n Europea o de terceros países con procedimientos análogos a los de la UE </w:t>
      </w:r>
    </w:p>
    <w:p w:rsidR="00BF3FD9" w:rsidRPr="00350CDE" w:rsidRDefault="008B1F96" w:rsidP="008B1F96">
      <w:pPr>
        <w:pStyle w:val="Textoindependiente"/>
        <w:numPr>
          <w:ilvl w:val="0"/>
          <w:numId w:val="15"/>
        </w:numPr>
        <w:spacing w:before="120"/>
        <w:rPr>
          <w:rFonts w:asciiTheme="minorHAnsi" w:hAnsiTheme="minorHAnsi" w:cstheme="minorHAnsi"/>
          <w:sz w:val="22"/>
          <w:szCs w:val="22"/>
        </w:rPr>
      </w:pPr>
      <w:r w:rsidRPr="00350CDE">
        <w:rPr>
          <w:rFonts w:asciiTheme="minorHAnsi" w:hAnsiTheme="minorHAnsi" w:cstheme="minorHAnsi"/>
          <w:sz w:val="22"/>
          <w:szCs w:val="22"/>
        </w:rPr>
        <w:t>No siempre están informadas del patrimonio total del cliente ni de donde está depositado, ya que puede tratarse de un a</w:t>
      </w:r>
      <w:r w:rsidR="00BF3FD9" w:rsidRPr="00350CDE">
        <w:rPr>
          <w:rFonts w:asciiTheme="minorHAnsi" w:hAnsiTheme="minorHAnsi" w:cstheme="minorHAnsi"/>
          <w:sz w:val="22"/>
          <w:szCs w:val="22"/>
        </w:rPr>
        <w:t>sesoramiento sobre una parte de su patrimonio</w:t>
      </w:r>
    </w:p>
    <w:p w:rsidR="00BF3FD9" w:rsidRPr="00350CDE" w:rsidRDefault="00BF3FD9" w:rsidP="00647FA9">
      <w:pPr>
        <w:pStyle w:val="Textoindependiente"/>
        <w:spacing w:before="120"/>
        <w:rPr>
          <w:rFonts w:asciiTheme="minorHAnsi" w:hAnsiTheme="minorHAnsi" w:cstheme="minorHAnsi"/>
          <w:sz w:val="22"/>
          <w:szCs w:val="22"/>
        </w:rPr>
      </w:pPr>
      <w:r w:rsidRPr="00350CDE">
        <w:rPr>
          <w:rFonts w:asciiTheme="minorHAnsi" w:hAnsiTheme="minorHAnsi" w:cstheme="minorHAnsi"/>
          <w:sz w:val="22"/>
          <w:szCs w:val="22"/>
        </w:rPr>
        <w:t xml:space="preserve">Por tanto consideramos que estos tres informes, para aquellas entidades que no superaran un determinado volumen (por ejemplo </w:t>
      </w:r>
      <w:r w:rsidR="00CA0D13" w:rsidRPr="00350CDE">
        <w:rPr>
          <w:rFonts w:asciiTheme="minorHAnsi" w:hAnsiTheme="minorHAnsi" w:cstheme="minorHAnsi"/>
          <w:sz w:val="22"/>
          <w:szCs w:val="22"/>
        </w:rPr>
        <w:t xml:space="preserve">EAFI personas jurídicas con una estructura de microempresa, es decir aquellas entidades con </w:t>
      </w:r>
      <w:r w:rsidR="00CA0D13" w:rsidRPr="00D81F50">
        <w:rPr>
          <w:rFonts w:asciiTheme="minorHAnsi" w:hAnsiTheme="minorHAnsi" w:cstheme="minorHAnsi"/>
          <w:sz w:val="22"/>
          <w:szCs w:val="22"/>
          <w:u w:val="single"/>
        </w:rPr>
        <w:t>10 empleados o menos, y una facturación menor o igual a 2 millones de euros o un volumen anual de activos igual o inferior a esa cantidad</w:t>
      </w:r>
      <w:r w:rsidRPr="00D81F50">
        <w:rPr>
          <w:rFonts w:asciiTheme="minorHAnsi" w:hAnsiTheme="minorHAnsi" w:cstheme="minorHAnsi"/>
          <w:sz w:val="22"/>
          <w:szCs w:val="22"/>
          <w:u w:val="single"/>
        </w:rPr>
        <w:t xml:space="preserve">, </w:t>
      </w:r>
      <w:r w:rsidR="00CA0D13" w:rsidRPr="00D81F50">
        <w:rPr>
          <w:rFonts w:asciiTheme="minorHAnsi" w:hAnsiTheme="minorHAnsi" w:cstheme="minorHAnsi"/>
          <w:sz w:val="22"/>
          <w:szCs w:val="22"/>
          <w:u w:val="single"/>
        </w:rPr>
        <w:t>y que no tengan agentes</w:t>
      </w:r>
      <w:r w:rsidR="00CA0D13" w:rsidRPr="00350CDE">
        <w:rPr>
          <w:rFonts w:asciiTheme="minorHAnsi" w:hAnsiTheme="minorHAnsi" w:cstheme="minorHAnsi"/>
          <w:sz w:val="22"/>
          <w:szCs w:val="22"/>
        </w:rPr>
        <w:t xml:space="preserve">) </w:t>
      </w:r>
      <w:r w:rsidRPr="00350CDE">
        <w:rPr>
          <w:rFonts w:asciiTheme="minorHAnsi" w:hAnsiTheme="minorHAnsi" w:cstheme="minorHAnsi"/>
          <w:sz w:val="22"/>
          <w:szCs w:val="22"/>
        </w:rPr>
        <w:t xml:space="preserve"> se podrían unificar en uno solo, como ocurre en el caso de las Empresas de Asesoramiento Financiero que son Persona física</w:t>
      </w:r>
      <w:r w:rsidR="00CA0D13" w:rsidRPr="00350CDE">
        <w:rPr>
          <w:rFonts w:asciiTheme="minorHAnsi" w:hAnsiTheme="minorHAnsi" w:cstheme="minorHAnsi"/>
          <w:sz w:val="22"/>
          <w:szCs w:val="22"/>
        </w:rPr>
        <w:t>. Los requisitos exigidos por la Circular 1/2014 a las EAFI Personas Físicas son perfectamente extrapolables a las EAFI Personas Jurídicas con características definidas anteriormente como microempresas atendiendo a la complejidad y naturaleza del servicio prestado</w:t>
      </w:r>
    </w:p>
    <w:p w:rsidR="001842A7" w:rsidRPr="00AF3D59" w:rsidRDefault="00D80BEE" w:rsidP="00AF3D59">
      <w:pPr>
        <w:pStyle w:val="Textoindependiente"/>
        <w:spacing w:before="120"/>
        <w:rPr>
          <w:rFonts w:asciiTheme="minorHAnsi" w:hAnsiTheme="minorHAnsi" w:cstheme="minorHAnsi"/>
          <w:sz w:val="22"/>
          <w:szCs w:val="22"/>
        </w:rPr>
      </w:pPr>
      <w:r w:rsidRPr="00AF3D59">
        <w:rPr>
          <w:rFonts w:asciiTheme="minorHAnsi" w:hAnsiTheme="minorHAnsi" w:cstheme="minorHAnsi"/>
          <w:sz w:val="22"/>
          <w:szCs w:val="22"/>
        </w:rPr>
        <w:t>El imponer más requerimientos a empresas con un tamaño tan reducido, que impli</w:t>
      </w:r>
      <w:r w:rsidR="00CA0D13" w:rsidRPr="00AF3D59">
        <w:rPr>
          <w:rFonts w:asciiTheme="minorHAnsi" w:hAnsiTheme="minorHAnsi" w:cstheme="minorHAnsi"/>
          <w:sz w:val="22"/>
          <w:szCs w:val="22"/>
        </w:rPr>
        <w:t>can mas</w:t>
      </w:r>
      <w:r w:rsidRPr="00AF3D59">
        <w:rPr>
          <w:rFonts w:asciiTheme="minorHAnsi" w:hAnsiTheme="minorHAnsi" w:cstheme="minorHAnsi"/>
          <w:sz w:val="22"/>
          <w:szCs w:val="22"/>
        </w:rPr>
        <w:t xml:space="preserve"> coste</w:t>
      </w:r>
      <w:r w:rsidR="00CA0D13" w:rsidRPr="00AF3D59">
        <w:rPr>
          <w:rFonts w:asciiTheme="minorHAnsi" w:hAnsiTheme="minorHAnsi" w:cstheme="minorHAnsi"/>
          <w:sz w:val="22"/>
          <w:szCs w:val="22"/>
        </w:rPr>
        <w:t>s</w:t>
      </w:r>
      <w:r w:rsidRPr="00AF3D59">
        <w:rPr>
          <w:rFonts w:asciiTheme="minorHAnsi" w:hAnsiTheme="minorHAnsi" w:cstheme="minorHAnsi"/>
          <w:sz w:val="22"/>
          <w:szCs w:val="22"/>
        </w:rPr>
        <w:t xml:space="preserve"> añadido</w:t>
      </w:r>
      <w:r w:rsidR="00CA0D13" w:rsidRPr="00AF3D59">
        <w:rPr>
          <w:rFonts w:asciiTheme="minorHAnsi" w:hAnsiTheme="minorHAnsi" w:cstheme="minorHAnsi"/>
          <w:sz w:val="22"/>
          <w:szCs w:val="22"/>
        </w:rPr>
        <w:t>s</w:t>
      </w:r>
      <w:r w:rsidRPr="00AF3D59">
        <w:rPr>
          <w:rFonts w:asciiTheme="minorHAnsi" w:hAnsiTheme="minorHAnsi" w:cstheme="minorHAnsi"/>
          <w:sz w:val="22"/>
          <w:szCs w:val="22"/>
        </w:rPr>
        <w:t xml:space="preserve">, </w:t>
      </w:r>
      <w:r w:rsidR="00CA0D13" w:rsidRPr="00AF3D59">
        <w:rPr>
          <w:rFonts w:asciiTheme="minorHAnsi" w:hAnsiTheme="minorHAnsi" w:cstheme="minorHAnsi"/>
          <w:sz w:val="22"/>
          <w:szCs w:val="22"/>
        </w:rPr>
        <w:t>hace que las entidades no procedan a regularse y se preste el servicio de Asesoramiento de forma “accesoria”</w:t>
      </w:r>
      <w:r w:rsidR="005767C7" w:rsidRPr="00AF3D59">
        <w:rPr>
          <w:rFonts w:asciiTheme="minorHAnsi" w:hAnsiTheme="minorHAnsi" w:cstheme="minorHAnsi"/>
          <w:sz w:val="22"/>
          <w:szCs w:val="22"/>
        </w:rPr>
        <w:t>.</w:t>
      </w:r>
    </w:p>
    <w:p w:rsidR="005767C7" w:rsidRPr="00AF3D59" w:rsidRDefault="005767C7" w:rsidP="00AF3D59"/>
    <w:p w:rsidR="0003037B" w:rsidRPr="00CE057C" w:rsidRDefault="0003037B" w:rsidP="007E5BF7">
      <w:pPr>
        <w:pStyle w:val="Ttulo3"/>
        <w:rPr>
          <w:rFonts w:asciiTheme="minorHAnsi" w:hAnsiTheme="minorHAnsi" w:cstheme="minorHAnsi"/>
          <w:sz w:val="24"/>
          <w:szCs w:val="24"/>
        </w:rPr>
      </w:pPr>
      <w:bookmarkStart w:id="18" w:name="_Toc493227786"/>
      <w:r w:rsidRPr="00CE057C">
        <w:rPr>
          <w:rFonts w:asciiTheme="minorHAnsi" w:hAnsiTheme="minorHAnsi" w:cstheme="minorHAnsi"/>
          <w:sz w:val="24"/>
          <w:szCs w:val="24"/>
        </w:rPr>
        <w:t>1</w:t>
      </w:r>
      <w:r w:rsidR="00762F8F">
        <w:rPr>
          <w:rFonts w:asciiTheme="minorHAnsi" w:hAnsiTheme="minorHAnsi" w:cstheme="minorHAnsi"/>
          <w:sz w:val="24"/>
          <w:szCs w:val="24"/>
        </w:rPr>
        <w:t>2</w:t>
      </w:r>
      <w:r w:rsidRPr="00CE057C">
        <w:rPr>
          <w:rFonts w:asciiTheme="minorHAnsi" w:hAnsiTheme="minorHAnsi" w:cstheme="minorHAnsi"/>
          <w:sz w:val="24"/>
          <w:szCs w:val="24"/>
        </w:rPr>
        <w:t>.2</w:t>
      </w:r>
      <w:r w:rsidRPr="00340797">
        <w:rPr>
          <w:rFonts w:asciiTheme="minorHAnsi" w:hAnsiTheme="minorHAnsi" w:cstheme="minorHAnsi"/>
          <w:sz w:val="24"/>
          <w:szCs w:val="24"/>
        </w:rPr>
        <w:t xml:space="preserve">. </w:t>
      </w:r>
      <w:r w:rsidR="00880848">
        <w:rPr>
          <w:rFonts w:asciiTheme="minorHAnsi" w:hAnsiTheme="minorHAnsi" w:cstheme="minorHAnsi"/>
          <w:sz w:val="24"/>
          <w:szCs w:val="24"/>
        </w:rPr>
        <w:t>Informació</w:t>
      </w:r>
      <w:r>
        <w:rPr>
          <w:rFonts w:asciiTheme="minorHAnsi" w:hAnsiTheme="minorHAnsi" w:cstheme="minorHAnsi"/>
          <w:sz w:val="24"/>
          <w:szCs w:val="24"/>
        </w:rPr>
        <w:t xml:space="preserve">n a reportar de los socios en los procesos de </w:t>
      </w:r>
      <w:r w:rsidRPr="00CE057C">
        <w:rPr>
          <w:rFonts w:asciiTheme="minorHAnsi" w:hAnsiTheme="minorHAnsi" w:cstheme="minorHAnsi"/>
          <w:sz w:val="24"/>
          <w:szCs w:val="24"/>
        </w:rPr>
        <w:t>Adquisición de participación significativa</w:t>
      </w:r>
      <w:bookmarkEnd w:id="18"/>
    </w:p>
    <w:p w:rsidR="00BE0107" w:rsidRPr="00AF3D59" w:rsidRDefault="0003037B" w:rsidP="00AF3D59">
      <w:pPr>
        <w:pStyle w:val="Textoindependiente"/>
        <w:spacing w:before="120"/>
        <w:rPr>
          <w:rFonts w:asciiTheme="minorHAnsi" w:hAnsiTheme="minorHAnsi" w:cstheme="minorHAnsi"/>
          <w:sz w:val="22"/>
          <w:szCs w:val="22"/>
        </w:rPr>
      </w:pPr>
      <w:r w:rsidRPr="00AF3D59">
        <w:rPr>
          <w:rFonts w:asciiTheme="minorHAnsi" w:hAnsiTheme="minorHAnsi" w:cstheme="minorHAnsi"/>
          <w:sz w:val="22"/>
          <w:szCs w:val="22"/>
        </w:rPr>
        <w:t xml:space="preserve">Dado que la mayoría de las Empresas de Asesoramiento Financiero tienen una estructura societaria muy pequeña y su volumen de capital suele ser bajo, sería conveniente que, para adquisiciones de </w:t>
      </w:r>
      <w:r w:rsidRPr="00AF3D59">
        <w:rPr>
          <w:rFonts w:asciiTheme="minorHAnsi" w:hAnsiTheme="minorHAnsi" w:cstheme="minorHAnsi"/>
          <w:sz w:val="22"/>
          <w:szCs w:val="22"/>
        </w:rPr>
        <w:lastRenderedPageBreak/>
        <w:t xml:space="preserve">participaciones de capital de bajo importe, </w:t>
      </w:r>
      <w:r w:rsidR="00880848" w:rsidRPr="00AF3D59">
        <w:rPr>
          <w:rFonts w:asciiTheme="minorHAnsi" w:hAnsiTheme="minorHAnsi" w:cstheme="minorHAnsi"/>
          <w:sz w:val="22"/>
          <w:szCs w:val="22"/>
        </w:rPr>
        <w:t xml:space="preserve">el proceso de evaluación de la idoneidad del socio, de acuerdo al art. 196 del anteproyecto, fuera </w:t>
      </w:r>
      <w:proofErr w:type="spellStart"/>
      <w:r w:rsidR="00880848" w:rsidRPr="00AF3D59">
        <w:rPr>
          <w:rFonts w:asciiTheme="minorHAnsi" w:hAnsiTheme="minorHAnsi" w:cstheme="minorHAnsi"/>
          <w:sz w:val="22"/>
          <w:szCs w:val="22"/>
        </w:rPr>
        <w:t>mas</w:t>
      </w:r>
      <w:proofErr w:type="spellEnd"/>
      <w:r w:rsidR="00880848" w:rsidRPr="00AF3D59">
        <w:rPr>
          <w:rFonts w:asciiTheme="minorHAnsi" w:hAnsiTheme="minorHAnsi" w:cstheme="minorHAnsi"/>
          <w:sz w:val="22"/>
          <w:szCs w:val="22"/>
        </w:rPr>
        <w:t xml:space="preserve"> simplificado. Actualmente, para adquisiciones de participaciones de por ejemplo, 1.000€, se necesitan los mismos requisitos que para 1.000.000 €, teniendo incluso que obtener el informe preceptivo de del Servicio Ejecutivo de la Comisión para la Prevención del Blanqueo de Capitales e Infracciones Monetarias</w:t>
      </w:r>
      <w:r w:rsidR="00AF3D59" w:rsidRPr="00AF3D59">
        <w:rPr>
          <w:rFonts w:asciiTheme="minorHAnsi" w:hAnsiTheme="minorHAnsi" w:cstheme="minorHAnsi"/>
          <w:sz w:val="22"/>
          <w:szCs w:val="22"/>
        </w:rPr>
        <w:t>.</w:t>
      </w:r>
    </w:p>
    <w:p w:rsidR="00AF3D59" w:rsidRPr="00AF3D59" w:rsidRDefault="00AF3D59" w:rsidP="00AF3D59">
      <w:pPr>
        <w:pStyle w:val="Textoindependiente"/>
        <w:spacing w:before="120"/>
        <w:rPr>
          <w:rFonts w:asciiTheme="minorHAnsi" w:hAnsiTheme="minorHAnsi" w:cstheme="minorHAnsi"/>
          <w:sz w:val="22"/>
          <w:szCs w:val="22"/>
        </w:rPr>
      </w:pPr>
    </w:p>
    <w:p w:rsidR="00AF3D59" w:rsidRPr="00AF3D59" w:rsidRDefault="00AF3D59" w:rsidP="00AF3D59"/>
    <w:p w:rsidR="00AF3D59" w:rsidRPr="00AF3D59" w:rsidRDefault="00AF3D59" w:rsidP="00AF3D59"/>
    <w:p w:rsidR="00AF3D59" w:rsidRPr="00AF3D59" w:rsidRDefault="00AF3D59" w:rsidP="00AF3D59"/>
    <w:p w:rsidR="00AF3D59" w:rsidRPr="00AF3D59" w:rsidRDefault="00AF3D59" w:rsidP="00AF3D59"/>
    <w:p w:rsidR="0003037B" w:rsidRPr="00AF3D59" w:rsidRDefault="00BE0107" w:rsidP="00AF3D59">
      <w:pPr>
        <w:rPr>
          <w:rFonts w:asciiTheme="minorHAnsi" w:hAnsiTheme="minorHAnsi" w:cstheme="minorHAnsi"/>
          <w:lang w:val="es-ES" w:eastAsia="es-ES"/>
        </w:rPr>
      </w:pPr>
      <w:r>
        <w:rPr>
          <w:rFonts w:asciiTheme="minorHAnsi" w:hAnsiTheme="minorHAnsi" w:cstheme="minorHAnsi"/>
        </w:rPr>
        <w:br w:type="page"/>
      </w:r>
    </w:p>
    <w:p w:rsidR="00AF3D59" w:rsidRPr="00BE3197" w:rsidRDefault="00BE0107" w:rsidP="00B8721E">
      <w:pPr>
        <w:pStyle w:val="Ttulo1"/>
        <w:jc w:val="both"/>
        <w:rPr>
          <w:sz w:val="24"/>
          <w:szCs w:val="24"/>
        </w:rPr>
      </w:pPr>
      <w:bookmarkStart w:id="19" w:name="_Toc493227787"/>
      <w:r w:rsidRPr="00BE3197">
        <w:rPr>
          <w:rFonts w:asciiTheme="minorHAnsi" w:hAnsiTheme="minorHAnsi" w:cstheme="minorHAnsi"/>
          <w:sz w:val="24"/>
          <w:szCs w:val="24"/>
        </w:rPr>
        <w:lastRenderedPageBreak/>
        <w:t>III. ERRATAS ENCONTRADAS EN LOS TEXTOS</w:t>
      </w:r>
      <w:bookmarkEnd w:id="19"/>
      <w:r w:rsidR="00AF3D59" w:rsidRPr="00BE3197">
        <w:rPr>
          <w:sz w:val="24"/>
          <w:szCs w:val="24"/>
        </w:rPr>
        <w:tab/>
      </w:r>
    </w:p>
    <w:p w:rsidR="008E33CA" w:rsidRDefault="008E33CA" w:rsidP="007E5BF7">
      <w:pPr>
        <w:pStyle w:val="Ttulo2"/>
        <w:rPr>
          <w:rFonts w:asciiTheme="minorHAnsi" w:hAnsiTheme="minorHAnsi" w:cstheme="minorHAnsi"/>
          <w:sz w:val="24"/>
          <w:szCs w:val="24"/>
        </w:rPr>
      </w:pPr>
      <w:bookmarkStart w:id="20" w:name="_Toc493227788"/>
      <w:r w:rsidRPr="00BE0107">
        <w:rPr>
          <w:rFonts w:asciiTheme="minorHAnsi" w:hAnsiTheme="minorHAnsi" w:cstheme="minorHAnsi"/>
          <w:sz w:val="24"/>
          <w:szCs w:val="24"/>
        </w:rPr>
        <w:t>1.</w:t>
      </w:r>
      <w:r w:rsidRPr="00BE0107">
        <w:rPr>
          <w:rFonts w:asciiTheme="minorHAnsi" w:hAnsiTheme="minorHAnsi" w:cstheme="minorHAnsi"/>
          <w:sz w:val="24"/>
          <w:szCs w:val="24"/>
        </w:rPr>
        <w:tab/>
        <w:t>Errores en las Referencias a Otra Normativa</w:t>
      </w:r>
      <w:bookmarkEnd w:id="20"/>
    </w:p>
    <w:p w:rsidR="008E33CA" w:rsidRPr="00CE057C" w:rsidRDefault="008E33CA" w:rsidP="00AF3D59">
      <w:pPr>
        <w:pStyle w:val="Prrafodelista"/>
        <w:numPr>
          <w:ilvl w:val="0"/>
          <w:numId w:val="9"/>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L</w:t>
      </w:r>
      <w:r w:rsidRPr="00CE057C">
        <w:rPr>
          <w:rFonts w:asciiTheme="minorHAnsi" w:hAnsiTheme="minorHAnsi" w:cstheme="minorHAnsi"/>
          <w:sz w:val="22"/>
          <w:szCs w:val="22"/>
        </w:rPr>
        <w:t xml:space="preserve">a referencia al Reglamento delegado (EU) </w:t>
      </w:r>
      <w:proofErr w:type="gramStart"/>
      <w:r w:rsidRPr="00CE057C">
        <w:rPr>
          <w:rFonts w:asciiTheme="minorHAnsi" w:hAnsiTheme="minorHAnsi" w:cstheme="minorHAnsi"/>
          <w:sz w:val="22"/>
          <w:szCs w:val="22"/>
        </w:rPr>
        <w:t>No …</w:t>
      </w:r>
      <w:proofErr w:type="gramEnd"/>
      <w:r w:rsidRPr="00CE057C">
        <w:rPr>
          <w:rFonts w:asciiTheme="minorHAnsi" w:hAnsiTheme="minorHAnsi" w:cstheme="minorHAnsi"/>
          <w:sz w:val="22"/>
          <w:szCs w:val="22"/>
        </w:rPr>
        <w:t xml:space="preserve">/.. de 11.7.2017, entendemos que se refiere al </w:t>
      </w:r>
      <w:r w:rsidRPr="00AF3D59">
        <w:rPr>
          <w:rFonts w:asciiTheme="minorHAnsi" w:hAnsiTheme="minorHAnsi" w:cstheme="minorHAnsi"/>
          <w:sz w:val="22"/>
          <w:szCs w:val="22"/>
        </w:rPr>
        <w:t>Reglamento delegado (UE</w:t>
      </w:r>
      <w:proofErr w:type="gramStart"/>
      <w:r w:rsidRPr="00AF3D59">
        <w:rPr>
          <w:rFonts w:asciiTheme="minorHAnsi" w:hAnsiTheme="minorHAnsi" w:cstheme="minorHAnsi"/>
          <w:sz w:val="22"/>
          <w:szCs w:val="22"/>
        </w:rPr>
        <w:t>) …</w:t>
      </w:r>
      <w:proofErr w:type="gramEnd"/>
      <w:r w:rsidRPr="00AF3D59">
        <w:rPr>
          <w:rFonts w:asciiTheme="minorHAnsi" w:hAnsiTheme="minorHAnsi" w:cstheme="minorHAnsi"/>
          <w:sz w:val="22"/>
          <w:szCs w:val="22"/>
        </w:rPr>
        <w:t>./…, de la Comisión de 14.7.2016 en lo que respecta a las normas técnicas de regulación sobre la información y los requisitos necesarios para la concesión de autorizaciones a empresas de servicios de inversión</w:t>
      </w:r>
      <w:r w:rsidRPr="00CE057C">
        <w:rPr>
          <w:rFonts w:asciiTheme="minorHAnsi" w:hAnsiTheme="minorHAnsi" w:cstheme="minorHAnsi"/>
          <w:sz w:val="22"/>
          <w:szCs w:val="22"/>
        </w:rPr>
        <w:t xml:space="preserve">, que aún no ha sido publicado. </w:t>
      </w:r>
    </w:p>
    <w:p w:rsidR="008E33CA" w:rsidRPr="00AF3D59" w:rsidRDefault="008E33CA" w:rsidP="00AF3D59">
      <w:pPr>
        <w:pStyle w:val="Prrafodelista"/>
        <w:numPr>
          <w:ilvl w:val="0"/>
          <w:numId w:val="9"/>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 xml:space="preserve">Las referencias al </w:t>
      </w:r>
      <w:r w:rsidRPr="0053097D">
        <w:rPr>
          <w:rFonts w:asciiTheme="minorHAnsi" w:hAnsiTheme="minorHAnsi" w:cstheme="minorHAnsi"/>
          <w:sz w:val="22"/>
          <w:szCs w:val="22"/>
        </w:rPr>
        <w:t xml:space="preserve"> Reglamento Delegado (UE) 2016/1788, entendemos que es un error ya que no se corresponde con el “REGLAMENTO DELEGADO (UE) 2016/1788 DE LA COMISIÓN de 14 de julio de 2016 por el que se modifica el Reglamento (UE) </w:t>
      </w:r>
      <w:proofErr w:type="spellStart"/>
      <w:r w:rsidRPr="0053097D">
        <w:rPr>
          <w:rFonts w:asciiTheme="minorHAnsi" w:hAnsiTheme="minorHAnsi" w:cstheme="minorHAnsi"/>
          <w:sz w:val="22"/>
          <w:szCs w:val="22"/>
        </w:rPr>
        <w:t>n.o</w:t>
      </w:r>
      <w:proofErr w:type="spellEnd"/>
      <w:r w:rsidRPr="0053097D">
        <w:rPr>
          <w:rFonts w:asciiTheme="minorHAnsi" w:hAnsiTheme="minorHAnsi" w:cstheme="minorHAnsi"/>
          <w:sz w:val="22"/>
          <w:szCs w:val="22"/>
        </w:rPr>
        <w:t xml:space="preserve"> 167/2013 del Parlamento Europeo y del Consejo en</w:t>
      </w:r>
      <w:r>
        <w:rPr>
          <w:rFonts w:asciiTheme="minorHAnsi" w:hAnsiTheme="minorHAnsi" w:cstheme="minorHAnsi"/>
          <w:sz w:val="22"/>
          <w:szCs w:val="22"/>
        </w:rPr>
        <w:t xml:space="preserve"> </w:t>
      </w:r>
      <w:r w:rsidRPr="0053097D">
        <w:rPr>
          <w:rFonts w:asciiTheme="minorHAnsi" w:hAnsiTheme="minorHAnsi" w:cstheme="minorHAnsi"/>
          <w:sz w:val="22"/>
          <w:szCs w:val="22"/>
        </w:rPr>
        <w:t xml:space="preserve">lo relativo a la lista de requisitos para la homologación de tipo UE de vehículos, y por el que se modifican y corrigen los Reglamentos Delegados (UE) </w:t>
      </w:r>
      <w:proofErr w:type="spellStart"/>
      <w:r w:rsidRPr="0053097D">
        <w:rPr>
          <w:rFonts w:asciiTheme="minorHAnsi" w:hAnsiTheme="minorHAnsi" w:cstheme="minorHAnsi"/>
          <w:sz w:val="22"/>
          <w:szCs w:val="22"/>
        </w:rPr>
        <w:t>n.o</w:t>
      </w:r>
      <w:proofErr w:type="spellEnd"/>
      <w:r w:rsidRPr="0053097D">
        <w:rPr>
          <w:rFonts w:asciiTheme="minorHAnsi" w:hAnsiTheme="minorHAnsi" w:cstheme="minorHAnsi"/>
          <w:sz w:val="22"/>
          <w:szCs w:val="22"/>
        </w:rPr>
        <w:t xml:space="preserve"> 1322/2014, (UE) 2015/96, (UE) 2015/68 y (UE) 2015/208 de la Comisión por lo que respecta a los requisitos de fabricación de los vehículos y los requisitos generales, a los requisitos de eficacia medioambiental y de rendimiento de la unidad de propulsión, a los requisitos de frenado de los vehículos y a los requisitos de seguridad funcional de los vehículos.”</w:t>
      </w:r>
    </w:p>
    <w:p w:rsidR="008E33CA" w:rsidRPr="00AF3D59" w:rsidRDefault="008E33CA" w:rsidP="00AF3D59">
      <w:pPr>
        <w:pStyle w:val="Prrafodelista"/>
        <w:numPr>
          <w:ilvl w:val="0"/>
          <w:numId w:val="9"/>
        </w:numPr>
        <w:spacing w:before="120"/>
        <w:contextualSpacing w:val="0"/>
        <w:jc w:val="both"/>
        <w:rPr>
          <w:rFonts w:asciiTheme="minorHAnsi" w:hAnsiTheme="minorHAnsi" w:cstheme="minorHAnsi"/>
          <w:sz w:val="22"/>
          <w:szCs w:val="22"/>
        </w:rPr>
      </w:pPr>
      <w:r>
        <w:rPr>
          <w:rFonts w:asciiTheme="minorHAnsi" w:hAnsiTheme="minorHAnsi" w:cstheme="minorHAnsi"/>
          <w:sz w:val="22"/>
          <w:szCs w:val="22"/>
        </w:rPr>
        <w:t xml:space="preserve">Referencias con vínculos no válidos: </w:t>
      </w:r>
      <w:r w:rsidRPr="00E37317">
        <w:rPr>
          <w:rFonts w:asciiTheme="minorHAnsi" w:hAnsiTheme="minorHAnsi" w:cstheme="minorHAnsi"/>
          <w:sz w:val="22"/>
          <w:szCs w:val="22"/>
        </w:rPr>
        <w:t>“¡Error! No se encuentra el origen de la referencia</w:t>
      </w:r>
      <w:r>
        <w:rPr>
          <w:rFonts w:asciiTheme="minorHAnsi" w:hAnsiTheme="minorHAnsi" w:cstheme="minorHAnsi"/>
          <w:sz w:val="22"/>
          <w:szCs w:val="22"/>
        </w:rPr>
        <w:t>”, por ejemplo en art. 76.4 del Reglamento</w:t>
      </w:r>
    </w:p>
    <w:p w:rsidR="008E33CA" w:rsidRPr="00B8721E" w:rsidRDefault="008E33CA" w:rsidP="00AF3D59">
      <w:pPr>
        <w:pStyle w:val="Prrafodelista"/>
        <w:numPr>
          <w:ilvl w:val="0"/>
          <w:numId w:val="9"/>
        </w:numPr>
        <w:spacing w:before="120"/>
        <w:contextualSpacing w:val="0"/>
        <w:jc w:val="both"/>
        <w:rPr>
          <w:rFonts w:asciiTheme="minorHAnsi" w:hAnsiTheme="minorHAnsi" w:cstheme="minorHAnsi"/>
          <w:sz w:val="22"/>
          <w:szCs w:val="22"/>
        </w:rPr>
      </w:pPr>
      <w:r w:rsidRPr="00B8721E">
        <w:rPr>
          <w:rFonts w:asciiTheme="minorHAnsi" w:hAnsiTheme="minorHAnsi" w:cstheme="minorHAnsi"/>
          <w:sz w:val="22"/>
          <w:szCs w:val="22"/>
        </w:rPr>
        <w:t>Se hacen referencias tanto en el Anteproyecto como en el Reglamento al “Texto refundido de la Ley del Mercado de Valores”. Entendemos que el nuevo texto será una nueva Ley y no un texto refundido, y que el actual vigente, aprobado por Real Decreto Legislativo 4/2015, de 23 de octubre, será derogado</w:t>
      </w:r>
    </w:p>
    <w:p w:rsidR="008E33CA" w:rsidRPr="00BE0107" w:rsidRDefault="00BE0107" w:rsidP="008E33CA">
      <w:pPr>
        <w:pStyle w:val="Ttulo2"/>
        <w:rPr>
          <w:rFonts w:asciiTheme="minorHAnsi" w:hAnsiTheme="minorHAnsi" w:cstheme="minorHAnsi"/>
          <w:sz w:val="24"/>
          <w:szCs w:val="24"/>
        </w:rPr>
      </w:pPr>
      <w:bookmarkStart w:id="21" w:name="_Toc493227789"/>
      <w:r>
        <w:rPr>
          <w:rFonts w:asciiTheme="minorHAnsi" w:hAnsiTheme="minorHAnsi" w:cstheme="minorHAnsi"/>
          <w:sz w:val="24"/>
          <w:szCs w:val="24"/>
        </w:rPr>
        <w:t>2</w:t>
      </w:r>
      <w:r w:rsidR="008E33CA" w:rsidRPr="00BE0107">
        <w:rPr>
          <w:rFonts w:asciiTheme="minorHAnsi" w:hAnsiTheme="minorHAnsi" w:cstheme="minorHAnsi"/>
          <w:sz w:val="24"/>
          <w:szCs w:val="24"/>
        </w:rPr>
        <w:t xml:space="preserve">. </w:t>
      </w:r>
      <w:r>
        <w:rPr>
          <w:rFonts w:asciiTheme="minorHAnsi" w:hAnsiTheme="minorHAnsi" w:cstheme="minorHAnsi"/>
          <w:sz w:val="24"/>
          <w:szCs w:val="24"/>
        </w:rPr>
        <w:t xml:space="preserve"> </w:t>
      </w:r>
      <w:r w:rsidR="008E33CA" w:rsidRPr="00BE0107">
        <w:rPr>
          <w:rFonts w:asciiTheme="minorHAnsi" w:hAnsiTheme="minorHAnsi" w:cstheme="minorHAnsi"/>
          <w:sz w:val="24"/>
          <w:szCs w:val="24"/>
        </w:rPr>
        <w:t>Repeticiones de artículos, párrafos:</w:t>
      </w:r>
      <w:bookmarkEnd w:id="21"/>
    </w:p>
    <w:p w:rsidR="008E33CA" w:rsidRPr="00350CDE" w:rsidRDefault="008E33CA" w:rsidP="008E33CA">
      <w:pPr>
        <w:pStyle w:val="Prrafodelista"/>
        <w:numPr>
          <w:ilvl w:val="0"/>
          <w:numId w:val="9"/>
        </w:numPr>
        <w:spacing w:before="120"/>
        <w:contextualSpacing w:val="0"/>
        <w:jc w:val="both"/>
        <w:rPr>
          <w:rFonts w:asciiTheme="minorHAnsi" w:hAnsiTheme="minorHAnsi" w:cstheme="minorHAnsi"/>
          <w:i/>
          <w:sz w:val="22"/>
          <w:szCs w:val="22"/>
        </w:rPr>
      </w:pPr>
      <w:r w:rsidRPr="00350CDE">
        <w:rPr>
          <w:rFonts w:asciiTheme="minorHAnsi" w:hAnsiTheme="minorHAnsi" w:cstheme="minorHAnsi"/>
          <w:sz w:val="22"/>
          <w:szCs w:val="22"/>
        </w:rPr>
        <w:t>Los apartados 161.3 y 162.1 del Anteproyecto están repetidos</w:t>
      </w:r>
    </w:p>
    <w:p w:rsidR="008E33CA" w:rsidRPr="00CE057C" w:rsidRDefault="008E33CA" w:rsidP="008E33CA">
      <w:pPr>
        <w:spacing w:before="120"/>
        <w:ind w:left="360"/>
        <w:jc w:val="both"/>
        <w:rPr>
          <w:rFonts w:asciiTheme="minorHAnsi" w:eastAsiaTheme="minorHAnsi" w:hAnsiTheme="minorHAnsi" w:cstheme="minorHAnsi"/>
          <w:i/>
          <w:sz w:val="22"/>
          <w:szCs w:val="22"/>
          <w:lang w:val="es-ES"/>
        </w:rPr>
      </w:pPr>
      <w:proofErr w:type="gramStart"/>
      <w:r w:rsidRPr="00CE057C">
        <w:rPr>
          <w:rFonts w:asciiTheme="minorHAnsi" w:eastAsiaTheme="minorHAnsi" w:hAnsiTheme="minorHAnsi" w:cstheme="minorHAnsi"/>
          <w:i/>
          <w:sz w:val="22"/>
          <w:szCs w:val="22"/>
        </w:rPr>
        <w:t>“</w:t>
      </w:r>
      <w:r w:rsidRPr="00BE0107">
        <w:rPr>
          <w:rFonts w:asciiTheme="minorHAnsi" w:eastAsiaTheme="minorHAnsi" w:hAnsiTheme="minorHAnsi" w:cstheme="minorHAnsi"/>
          <w:i/>
          <w:sz w:val="22"/>
          <w:szCs w:val="22"/>
          <w:lang w:val="es-ES"/>
        </w:rPr>
        <w:t xml:space="preserve"> Los</w:t>
      </w:r>
      <w:proofErr w:type="gramEnd"/>
      <w:r w:rsidRPr="00BE0107">
        <w:rPr>
          <w:rFonts w:asciiTheme="minorHAnsi" w:eastAsiaTheme="minorHAnsi" w:hAnsiTheme="minorHAnsi" w:cstheme="minorHAnsi"/>
          <w:i/>
          <w:sz w:val="22"/>
          <w:szCs w:val="22"/>
          <w:lang w:val="es-ES"/>
        </w:rPr>
        <w:t xml:space="preserve"> actos llevados a cabo por una empresa de servicios de inversión que sean preparatorios para la prestación de un servicio de inversión deben considerarse parte integrante del servicio. “</w:t>
      </w:r>
    </w:p>
    <w:p w:rsidR="008E33CA" w:rsidRPr="0072773F" w:rsidRDefault="008E33CA" w:rsidP="008E33CA">
      <w:pPr>
        <w:pStyle w:val="Prrafodelista"/>
        <w:numPr>
          <w:ilvl w:val="0"/>
          <w:numId w:val="9"/>
        </w:numPr>
        <w:spacing w:before="120"/>
        <w:ind w:left="357" w:hanging="357"/>
        <w:contextualSpacing w:val="0"/>
        <w:jc w:val="both"/>
        <w:rPr>
          <w:rFonts w:asciiTheme="minorHAnsi" w:hAnsiTheme="minorHAnsi" w:cstheme="minorHAnsi"/>
          <w:i/>
          <w:sz w:val="22"/>
          <w:szCs w:val="22"/>
        </w:rPr>
      </w:pPr>
      <w:r w:rsidRPr="00CE057C">
        <w:rPr>
          <w:rFonts w:asciiTheme="minorHAnsi" w:hAnsiTheme="minorHAnsi" w:cstheme="minorHAnsi"/>
          <w:sz w:val="22"/>
          <w:szCs w:val="22"/>
        </w:rPr>
        <w:t>Los apartados 161.4 y 162.3 del Anteproyecto están repetidos</w:t>
      </w:r>
    </w:p>
    <w:p w:rsidR="0072773F" w:rsidRPr="00CE057C" w:rsidRDefault="0072773F" w:rsidP="008E33CA">
      <w:pPr>
        <w:pStyle w:val="Prrafodelista"/>
        <w:numPr>
          <w:ilvl w:val="0"/>
          <w:numId w:val="9"/>
        </w:numPr>
        <w:spacing w:before="120"/>
        <w:ind w:left="357" w:hanging="357"/>
        <w:contextualSpacing w:val="0"/>
        <w:jc w:val="both"/>
        <w:rPr>
          <w:rFonts w:asciiTheme="minorHAnsi" w:hAnsiTheme="minorHAnsi" w:cstheme="minorHAnsi"/>
          <w:i/>
          <w:sz w:val="22"/>
          <w:szCs w:val="22"/>
        </w:rPr>
      </w:pPr>
      <w:r>
        <w:rPr>
          <w:rFonts w:asciiTheme="minorHAnsi" w:hAnsiTheme="minorHAnsi" w:cstheme="minorHAnsi"/>
          <w:i/>
          <w:sz w:val="22"/>
          <w:szCs w:val="22"/>
        </w:rPr>
        <w:t xml:space="preserve">El apartado 186.2 </w:t>
      </w:r>
      <w:r w:rsidR="00D17A8D">
        <w:rPr>
          <w:rFonts w:asciiTheme="minorHAnsi" w:hAnsiTheme="minorHAnsi" w:cstheme="minorHAnsi"/>
          <w:i/>
          <w:sz w:val="22"/>
          <w:szCs w:val="22"/>
        </w:rPr>
        <w:t>del Anteproyecto, ya está incluido en el segundo párrafo del apartado 1</w:t>
      </w:r>
    </w:p>
    <w:p w:rsidR="008E33CA" w:rsidRDefault="008E33CA" w:rsidP="008E33CA">
      <w:pPr>
        <w:pStyle w:val="Prrafodelista"/>
        <w:numPr>
          <w:ilvl w:val="0"/>
          <w:numId w:val="9"/>
        </w:numPr>
        <w:spacing w:before="120"/>
        <w:contextualSpacing w:val="0"/>
        <w:jc w:val="both"/>
        <w:rPr>
          <w:rFonts w:asciiTheme="minorHAnsi" w:hAnsiTheme="minorHAnsi" w:cstheme="minorHAnsi"/>
          <w:i/>
          <w:sz w:val="22"/>
          <w:szCs w:val="22"/>
        </w:rPr>
      </w:pPr>
      <w:r>
        <w:rPr>
          <w:rFonts w:asciiTheme="minorHAnsi" w:hAnsiTheme="minorHAnsi" w:cstheme="minorHAnsi"/>
          <w:i/>
          <w:sz w:val="22"/>
          <w:szCs w:val="22"/>
        </w:rPr>
        <w:t>Los a</w:t>
      </w:r>
      <w:r w:rsidRPr="00895714">
        <w:rPr>
          <w:rFonts w:asciiTheme="minorHAnsi" w:hAnsiTheme="minorHAnsi" w:cstheme="minorHAnsi"/>
          <w:i/>
          <w:sz w:val="22"/>
          <w:szCs w:val="22"/>
        </w:rPr>
        <w:t>rtículo</w:t>
      </w:r>
      <w:r>
        <w:rPr>
          <w:rFonts w:asciiTheme="minorHAnsi" w:hAnsiTheme="minorHAnsi" w:cstheme="minorHAnsi"/>
          <w:i/>
          <w:sz w:val="22"/>
          <w:szCs w:val="22"/>
        </w:rPr>
        <w:t>s</w:t>
      </w:r>
      <w:r w:rsidRPr="00895714">
        <w:rPr>
          <w:rFonts w:asciiTheme="minorHAnsi" w:hAnsiTheme="minorHAnsi" w:cstheme="minorHAnsi"/>
          <w:i/>
          <w:sz w:val="22"/>
          <w:szCs w:val="22"/>
        </w:rPr>
        <w:t xml:space="preserve"> 23</w:t>
      </w:r>
      <w:r>
        <w:rPr>
          <w:rFonts w:asciiTheme="minorHAnsi" w:hAnsiTheme="minorHAnsi" w:cstheme="minorHAnsi"/>
          <w:i/>
          <w:sz w:val="22"/>
          <w:szCs w:val="22"/>
        </w:rPr>
        <w:t xml:space="preserve"> y 24 del Reglamento tienen la misma denominación:”</w:t>
      </w:r>
      <w:r w:rsidRPr="00895714">
        <w:rPr>
          <w:rFonts w:asciiTheme="minorHAnsi" w:hAnsiTheme="minorHAnsi" w:cstheme="minorHAnsi"/>
          <w:i/>
          <w:sz w:val="22"/>
          <w:szCs w:val="22"/>
        </w:rPr>
        <w:t>. Selección, control y evaluación de los requisitos de idoneidad por parte de las empresas de servicios de inversión</w:t>
      </w:r>
      <w:r>
        <w:rPr>
          <w:rFonts w:asciiTheme="minorHAnsi" w:hAnsiTheme="minorHAnsi" w:cstheme="minorHAnsi"/>
          <w:i/>
          <w:sz w:val="22"/>
          <w:szCs w:val="22"/>
        </w:rPr>
        <w:t>”</w:t>
      </w:r>
    </w:p>
    <w:p w:rsidR="008E33CA" w:rsidRPr="00BE0107" w:rsidRDefault="00BE0107" w:rsidP="008E33CA">
      <w:pPr>
        <w:pStyle w:val="Ttulo2"/>
        <w:rPr>
          <w:rFonts w:asciiTheme="minorHAnsi" w:hAnsiTheme="minorHAnsi" w:cstheme="minorHAnsi"/>
          <w:sz w:val="24"/>
          <w:szCs w:val="24"/>
        </w:rPr>
      </w:pPr>
      <w:bookmarkStart w:id="22" w:name="_Toc493227790"/>
      <w:r>
        <w:rPr>
          <w:rFonts w:asciiTheme="minorHAnsi" w:hAnsiTheme="minorHAnsi" w:cstheme="minorHAnsi"/>
          <w:sz w:val="24"/>
          <w:szCs w:val="24"/>
        </w:rPr>
        <w:t xml:space="preserve">3. </w:t>
      </w:r>
      <w:r w:rsidR="008E33CA" w:rsidRPr="00BE0107">
        <w:rPr>
          <w:rFonts w:asciiTheme="minorHAnsi" w:hAnsiTheme="minorHAnsi" w:cstheme="minorHAnsi"/>
          <w:sz w:val="24"/>
          <w:szCs w:val="24"/>
        </w:rPr>
        <w:t xml:space="preserve"> Incongruencias en la Ley y reglamento</w:t>
      </w:r>
      <w:bookmarkEnd w:id="22"/>
    </w:p>
    <w:p w:rsidR="008E33CA" w:rsidRPr="00CE057C" w:rsidRDefault="008E33CA" w:rsidP="008E33CA">
      <w:pPr>
        <w:pStyle w:val="Prrafodelista"/>
        <w:numPr>
          <w:ilvl w:val="0"/>
          <w:numId w:val="9"/>
        </w:numPr>
        <w:spacing w:after="200" w:line="276" w:lineRule="auto"/>
        <w:jc w:val="both"/>
        <w:rPr>
          <w:rFonts w:asciiTheme="minorHAnsi" w:eastAsiaTheme="minorHAnsi" w:hAnsiTheme="minorHAnsi" w:cstheme="minorHAnsi"/>
          <w:sz w:val="22"/>
          <w:szCs w:val="22"/>
          <w:lang w:val="es-ES"/>
        </w:rPr>
      </w:pPr>
      <w:r w:rsidRPr="00CE057C">
        <w:rPr>
          <w:rFonts w:asciiTheme="minorHAnsi" w:eastAsiaTheme="minorHAnsi" w:hAnsiTheme="minorHAnsi" w:cstheme="minorHAnsi"/>
          <w:sz w:val="22"/>
          <w:szCs w:val="22"/>
          <w:lang w:val="es-ES"/>
        </w:rPr>
        <w:t xml:space="preserve">En el art. 6.2 del Anteproyecto, Aplicación a empresas de terceros países, en su párrafo segundo, se indica “…, </w:t>
      </w:r>
      <w:r w:rsidRPr="00CE057C">
        <w:rPr>
          <w:rFonts w:asciiTheme="minorHAnsi" w:eastAsiaTheme="minorHAnsi" w:hAnsiTheme="minorHAnsi" w:cstheme="minorHAnsi"/>
          <w:i/>
          <w:sz w:val="22"/>
          <w:szCs w:val="22"/>
          <w:lang w:val="es-ES"/>
        </w:rPr>
        <w:t>se entenderá por empresas de terceros países aquellas empresas que serían una entidad de crédito que prestase servicios de inversión o realizase actividades de inversión o una empresa de servicios de inversión, siempre que su administración central o su sede social estuviesen situadas dentro de España</w:t>
      </w:r>
      <w:r w:rsidRPr="00CE057C">
        <w:rPr>
          <w:rFonts w:asciiTheme="minorHAnsi" w:eastAsiaTheme="minorHAnsi" w:hAnsiTheme="minorHAnsi" w:cstheme="minorHAnsi"/>
          <w:sz w:val="22"/>
          <w:szCs w:val="22"/>
          <w:lang w:val="es-ES"/>
        </w:rPr>
        <w:t xml:space="preserve">. “ </w:t>
      </w:r>
    </w:p>
    <w:p w:rsidR="00E47D70" w:rsidRDefault="008E33CA" w:rsidP="00BE0107">
      <w:pPr>
        <w:spacing w:after="200" w:line="276" w:lineRule="auto"/>
        <w:ind w:left="360"/>
        <w:jc w:val="both"/>
        <w:rPr>
          <w:rFonts w:asciiTheme="minorHAnsi" w:hAnsiTheme="minorHAnsi" w:cstheme="minorHAnsi"/>
          <w:sz w:val="22"/>
          <w:szCs w:val="22"/>
        </w:rPr>
      </w:pPr>
      <w:r>
        <w:rPr>
          <w:rFonts w:asciiTheme="minorHAnsi" w:eastAsiaTheme="minorHAnsi" w:hAnsiTheme="minorHAnsi" w:cstheme="minorHAnsi"/>
          <w:sz w:val="22"/>
          <w:szCs w:val="22"/>
          <w:lang w:val="es-ES"/>
        </w:rPr>
        <w:t xml:space="preserve">Si su administración o sede central están España, entendemos que </w:t>
      </w:r>
      <w:r w:rsidRPr="00CE057C">
        <w:rPr>
          <w:rFonts w:asciiTheme="minorHAnsi" w:eastAsiaTheme="minorHAnsi" w:hAnsiTheme="minorHAnsi" w:cstheme="minorHAnsi"/>
          <w:sz w:val="22"/>
          <w:szCs w:val="22"/>
          <w:u w:val="single"/>
          <w:lang w:val="es-ES"/>
        </w:rPr>
        <w:t xml:space="preserve">no son de terceros </w:t>
      </w:r>
      <w:proofErr w:type="spellStart"/>
      <w:r w:rsidRPr="00CE057C">
        <w:rPr>
          <w:rFonts w:asciiTheme="minorHAnsi" w:eastAsiaTheme="minorHAnsi" w:hAnsiTheme="minorHAnsi" w:cstheme="minorHAnsi"/>
          <w:sz w:val="22"/>
          <w:szCs w:val="22"/>
          <w:u w:val="single"/>
          <w:lang w:val="es-ES"/>
        </w:rPr>
        <w:t>paises</w:t>
      </w:r>
      <w:proofErr w:type="spellEnd"/>
      <w:r w:rsidR="00E47D70" w:rsidRPr="00350CDE">
        <w:rPr>
          <w:rFonts w:asciiTheme="minorHAnsi" w:hAnsiTheme="minorHAnsi" w:cstheme="minorHAnsi"/>
          <w:sz w:val="22"/>
          <w:szCs w:val="22"/>
        </w:rPr>
        <w:t>.</w:t>
      </w:r>
    </w:p>
    <w:p w:rsidR="00D17A8D" w:rsidRDefault="00D17A8D" w:rsidP="00D17A8D">
      <w:pPr>
        <w:pStyle w:val="Prrafodelista"/>
        <w:numPr>
          <w:ilvl w:val="0"/>
          <w:numId w:val="9"/>
        </w:numPr>
        <w:spacing w:after="200" w:line="276" w:lineRule="auto"/>
        <w:jc w:val="both"/>
        <w:rPr>
          <w:rFonts w:asciiTheme="minorHAnsi" w:eastAsiaTheme="minorHAnsi" w:hAnsiTheme="minorHAnsi" w:cstheme="minorBidi"/>
          <w:sz w:val="22"/>
          <w:szCs w:val="22"/>
          <w:lang w:val="es-ES"/>
        </w:rPr>
      </w:pPr>
      <w:r>
        <w:rPr>
          <w:rFonts w:asciiTheme="minorHAnsi" w:eastAsiaTheme="minorHAnsi" w:hAnsiTheme="minorHAnsi" w:cstheme="minorBidi"/>
          <w:sz w:val="22"/>
          <w:szCs w:val="22"/>
          <w:lang w:val="es-ES"/>
        </w:rPr>
        <w:t>En el artículo 185.7 del Anteproyecto</w:t>
      </w:r>
    </w:p>
    <w:p w:rsidR="009A05FC" w:rsidRPr="00D17A8D" w:rsidRDefault="00D17A8D" w:rsidP="00D17A8D">
      <w:pPr>
        <w:spacing w:after="200" w:line="276" w:lineRule="auto"/>
        <w:ind w:left="708"/>
        <w:jc w:val="both"/>
        <w:rPr>
          <w:rFonts w:asciiTheme="minorHAnsi" w:eastAsiaTheme="minorHAnsi" w:hAnsiTheme="minorHAnsi" w:cstheme="minorBidi"/>
          <w:i/>
          <w:sz w:val="22"/>
          <w:szCs w:val="22"/>
          <w:lang w:val="es-ES"/>
        </w:rPr>
      </w:pPr>
      <w:r w:rsidRPr="00D17A8D">
        <w:rPr>
          <w:rFonts w:asciiTheme="minorHAnsi" w:eastAsiaTheme="minorHAnsi" w:hAnsiTheme="minorHAnsi" w:cstheme="minorBidi"/>
          <w:sz w:val="22"/>
          <w:szCs w:val="22"/>
          <w:lang w:val="es-ES"/>
        </w:rPr>
        <w:lastRenderedPageBreak/>
        <w:t>“</w:t>
      </w:r>
      <w:r w:rsidR="009A05FC" w:rsidRPr="00D17A8D">
        <w:rPr>
          <w:rFonts w:asciiTheme="minorHAnsi" w:eastAsiaTheme="minorHAnsi" w:hAnsiTheme="minorHAnsi" w:cstheme="minorBidi"/>
          <w:sz w:val="22"/>
          <w:szCs w:val="22"/>
          <w:lang w:val="es-ES"/>
        </w:rPr>
        <w:t xml:space="preserve"> </w:t>
      </w:r>
      <w:r w:rsidR="009A05FC" w:rsidRPr="00D17A8D">
        <w:rPr>
          <w:rFonts w:asciiTheme="minorHAnsi" w:eastAsiaTheme="minorHAnsi" w:hAnsiTheme="minorHAnsi" w:cstheme="minorBidi"/>
          <w:i/>
          <w:sz w:val="22"/>
          <w:szCs w:val="22"/>
          <w:lang w:val="es-ES"/>
        </w:rPr>
        <w:t xml:space="preserve">Cuando la </w:t>
      </w:r>
      <w:r w:rsidR="009A05FC" w:rsidRPr="00D17A8D">
        <w:rPr>
          <w:rFonts w:asciiTheme="minorHAnsi" w:eastAsiaTheme="minorHAnsi" w:hAnsiTheme="minorHAnsi" w:cstheme="minorBidi"/>
          <w:b/>
          <w:i/>
          <w:sz w:val="22"/>
          <w:szCs w:val="22"/>
          <w:lang w:val="es-ES"/>
        </w:rPr>
        <w:t>empresa de servicios de inversión</w:t>
      </w:r>
      <w:r w:rsidR="009A05FC" w:rsidRPr="00D17A8D">
        <w:rPr>
          <w:rFonts w:asciiTheme="minorHAnsi" w:eastAsiaTheme="minorHAnsi" w:hAnsiTheme="minorHAnsi" w:cstheme="minorBidi"/>
          <w:i/>
          <w:sz w:val="22"/>
          <w:szCs w:val="22"/>
          <w:lang w:val="es-ES"/>
        </w:rPr>
        <w:t xml:space="preserve"> o una entidad de crédito española utilice recurra a un agente vinculado establecido en otro Estado miembro de la Unión Europea para la prestación de servicios o actividades de inversión, así como de servicios auxiliares, </w:t>
      </w:r>
      <w:r w:rsidR="009A05FC" w:rsidRPr="00D17A8D">
        <w:rPr>
          <w:rFonts w:asciiTheme="minorHAnsi" w:eastAsiaTheme="minorHAnsi" w:hAnsiTheme="minorHAnsi" w:cstheme="minorBidi"/>
          <w:b/>
          <w:i/>
          <w:sz w:val="22"/>
          <w:szCs w:val="22"/>
          <w:lang w:val="es-ES"/>
        </w:rPr>
        <w:t>lo notificará al Banco de España</w:t>
      </w:r>
      <w:r w:rsidR="009A05FC" w:rsidRPr="00D17A8D">
        <w:rPr>
          <w:rFonts w:asciiTheme="minorHAnsi" w:eastAsiaTheme="minorHAnsi" w:hAnsiTheme="minorHAnsi" w:cstheme="minorBidi"/>
          <w:i/>
          <w:sz w:val="22"/>
          <w:szCs w:val="22"/>
          <w:lang w:val="es-ES"/>
        </w:rPr>
        <w:t>, facilitándole la información recogida en el apartado 1 de este artículo. Dicho agente se asimilará a una sucursal y estará sujeto al régimen establecido en este artículo para las sucursales.</w:t>
      </w:r>
      <w:r>
        <w:rPr>
          <w:rFonts w:asciiTheme="minorHAnsi" w:eastAsiaTheme="minorHAnsi" w:hAnsiTheme="minorHAnsi" w:cstheme="minorBidi"/>
          <w:i/>
          <w:sz w:val="22"/>
          <w:szCs w:val="22"/>
          <w:lang w:val="es-ES"/>
        </w:rPr>
        <w:t>”</w:t>
      </w:r>
      <w:r w:rsidR="009A05FC" w:rsidRPr="00D17A8D">
        <w:rPr>
          <w:rFonts w:asciiTheme="minorHAnsi" w:eastAsiaTheme="minorHAnsi" w:hAnsiTheme="minorHAnsi" w:cstheme="minorBidi"/>
          <w:i/>
          <w:sz w:val="22"/>
          <w:szCs w:val="22"/>
          <w:lang w:val="es-ES"/>
        </w:rPr>
        <w:t xml:space="preserve"> </w:t>
      </w:r>
    </w:p>
    <w:p w:rsidR="009A05FC" w:rsidRPr="00BE0107" w:rsidRDefault="00D17A8D" w:rsidP="00D17A8D">
      <w:pPr>
        <w:spacing w:after="200" w:line="276" w:lineRule="auto"/>
        <w:jc w:val="both"/>
        <w:rPr>
          <w:rFonts w:asciiTheme="minorHAnsi" w:eastAsiaTheme="minorHAnsi" w:hAnsiTheme="minorHAnsi" w:cstheme="minorHAnsi"/>
          <w:sz w:val="22"/>
          <w:szCs w:val="22"/>
          <w:lang w:val="es-ES"/>
        </w:rPr>
      </w:pPr>
      <w:r>
        <w:rPr>
          <w:rFonts w:asciiTheme="minorHAnsi" w:eastAsiaTheme="minorHAnsi" w:hAnsiTheme="minorHAnsi" w:cstheme="minorHAnsi"/>
          <w:sz w:val="22"/>
          <w:szCs w:val="22"/>
          <w:lang w:val="es-ES"/>
        </w:rPr>
        <w:t>¿Cuándo se trata de una Empresa de Inversión también está obligada a notificar al Banco de España?</w:t>
      </w:r>
    </w:p>
    <w:p w:rsidR="00EE0F4F" w:rsidRPr="00457554" w:rsidRDefault="00EE0F4F" w:rsidP="00EE0F4F">
      <w:pPr>
        <w:pStyle w:val="Prrafodelista"/>
        <w:numPr>
          <w:ilvl w:val="0"/>
          <w:numId w:val="9"/>
        </w:numPr>
        <w:spacing w:after="200" w:line="276" w:lineRule="auto"/>
        <w:rPr>
          <w:rFonts w:asciiTheme="minorHAnsi" w:eastAsiaTheme="minorHAnsi" w:hAnsiTheme="minorHAnsi" w:cstheme="minorBidi"/>
          <w:sz w:val="22"/>
          <w:szCs w:val="22"/>
          <w:lang w:val="es-ES"/>
        </w:rPr>
      </w:pPr>
      <w:r w:rsidRPr="00EE0F4F">
        <w:rPr>
          <w:rFonts w:asciiTheme="minorHAnsi" w:eastAsiaTheme="minorHAnsi" w:hAnsiTheme="minorHAnsi" w:cstheme="minorBidi"/>
          <w:sz w:val="22"/>
          <w:szCs w:val="22"/>
          <w:lang w:val="es-ES"/>
        </w:rPr>
        <w:t xml:space="preserve">En el Artículo 241.1. del Anteproyecto, entendemos que por error se ha omitido el tipo de clientes </w:t>
      </w:r>
      <w:r>
        <w:rPr>
          <w:rFonts w:asciiTheme="minorHAnsi" w:eastAsiaTheme="minorHAnsi" w:hAnsiTheme="minorHAnsi" w:cstheme="minorBidi"/>
          <w:b/>
          <w:sz w:val="22"/>
          <w:szCs w:val="22"/>
          <w:lang w:val="es-ES"/>
        </w:rPr>
        <w:t>“</w:t>
      </w:r>
      <w:r w:rsidRPr="00457554">
        <w:rPr>
          <w:rFonts w:asciiTheme="minorHAnsi" w:eastAsiaTheme="minorHAnsi" w:hAnsiTheme="minorHAnsi" w:cstheme="minorBidi"/>
          <w:b/>
          <w:sz w:val="22"/>
          <w:szCs w:val="22"/>
          <w:lang w:val="es-ES"/>
        </w:rPr>
        <w:t>minorista”</w:t>
      </w:r>
    </w:p>
    <w:p w:rsidR="000D5A15" w:rsidRDefault="00EE0F4F" w:rsidP="00457554">
      <w:pPr>
        <w:pStyle w:val="Prrafodelista"/>
        <w:numPr>
          <w:ilvl w:val="0"/>
          <w:numId w:val="9"/>
        </w:numPr>
        <w:spacing w:before="120"/>
        <w:contextualSpacing w:val="0"/>
        <w:jc w:val="both"/>
        <w:rPr>
          <w:rFonts w:asciiTheme="minorHAnsi" w:hAnsiTheme="minorHAnsi" w:cstheme="minorHAnsi"/>
          <w:sz w:val="22"/>
          <w:szCs w:val="22"/>
        </w:rPr>
      </w:pPr>
      <w:r w:rsidRPr="00457554">
        <w:rPr>
          <w:rFonts w:asciiTheme="minorHAnsi" w:eastAsiaTheme="minorHAnsi" w:hAnsiTheme="minorHAnsi" w:cstheme="minorBidi"/>
          <w:sz w:val="22"/>
          <w:szCs w:val="22"/>
          <w:lang w:val="es-ES"/>
        </w:rPr>
        <w:t xml:space="preserve"> </w:t>
      </w:r>
      <w:r w:rsidR="00457554" w:rsidRPr="00457554">
        <w:rPr>
          <w:rFonts w:asciiTheme="minorHAnsi" w:hAnsiTheme="minorHAnsi" w:cstheme="minorHAnsi"/>
          <w:sz w:val="22"/>
          <w:szCs w:val="22"/>
        </w:rPr>
        <w:t>En el artículo 5. Ámbito de aplica</w:t>
      </w:r>
      <w:r w:rsidR="00326C48">
        <w:rPr>
          <w:rFonts w:asciiTheme="minorHAnsi" w:hAnsiTheme="minorHAnsi" w:cstheme="minorHAnsi"/>
          <w:sz w:val="22"/>
          <w:szCs w:val="22"/>
        </w:rPr>
        <w:t xml:space="preserve">ción, se hace referencia en el </w:t>
      </w:r>
      <w:bookmarkStart w:id="23" w:name="_GoBack"/>
      <w:bookmarkEnd w:id="23"/>
      <w:r w:rsidR="00457554" w:rsidRPr="00457554">
        <w:rPr>
          <w:rFonts w:asciiTheme="minorHAnsi" w:hAnsiTheme="minorHAnsi" w:cstheme="minorHAnsi"/>
          <w:sz w:val="22"/>
          <w:szCs w:val="22"/>
        </w:rPr>
        <w:t>apartado 2b)  al Capítulo I del Título IX, y en la c) al Título IX entero</w:t>
      </w:r>
      <w:r w:rsidR="000D5A15">
        <w:rPr>
          <w:rFonts w:asciiTheme="minorHAnsi" w:hAnsiTheme="minorHAnsi" w:cstheme="minorHAnsi"/>
          <w:sz w:val="22"/>
          <w:szCs w:val="22"/>
        </w:rPr>
        <w:t>.</w:t>
      </w:r>
    </w:p>
    <w:p w:rsidR="000D5A15" w:rsidRDefault="000D5A15" w:rsidP="000D5A15">
      <w:pPr>
        <w:spacing w:before="120"/>
        <w:jc w:val="both"/>
        <w:rPr>
          <w:rFonts w:asciiTheme="minorHAnsi" w:hAnsiTheme="minorHAnsi" w:cstheme="minorHAnsi"/>
          <w:sz w:val="22"/>
          <w:szCs w:val="22"/>
        </w:rPr>
      </w:pPr>
    </w:p>
    <w:p w:rsidR="000D5A15" w:rsidRDefault="000D5A15" w:rsidP="000D5A15">
      <w:pPr>
        <w:spacing w:before="120"/>
        <w:jc w:val="both"/>
        <w:rPr>
          <w:rFonts w:asciiTheme="minorHAnsi" w:hAnsiTheme="minorHAnsi" w:cstheme="minorHAnsi"/>
          <w:sz w:val="22"/>
          <w:szCs w:val="22"/>
        </w:rPr>
      </w:pPr>
    </w:p>
    <w:p w:rsidR="00457554" w:rsidRPr="000D5A15" w:rsidRDefault="000D5A15" w:rsidP="000D5A15">
      <w:pPr>
        <w:spacing w:before="120"/>
        <w:jc w:val="both"/>
        <w:rPr>
          <w:rFonts w:asciiTheme="minorHAnsi" w:hAnsiTheme="minorHAnsi" w:cstheme="minorHAnsi"/>
          <w:sz w:val="22"/>
          <w:szCs w:val="22"/>
        </w:rPr>
      </w:pPr>
      <w:r>
        <w:rPr>
          <w:rFonts w:asciiTheme="minorHAnsi" w:hAnsiTheme="minorHAnsi" w:cstheme="minorHAnsi"/>
          <w:sz w:val="22"/>
          <w:szCs w:val="22"/>
        </w:rPr>
        <w:t>Madrid, 18 de septiembre de 2017</w:t>
      </w:r>
      <w:r w:rsidR="00457554" w:rsidRPr="000D5A15">
        <w:rPr>
          <w:rFonts w:asciiTheme="minorHAnsi" w:hAnsiTheme="minorHAnsi" w:cstheme="minorHAnsi"/>
          <w:sz w:val="22"/>
          <w:szCs w:val="22"/>
        </w:rPr>
        <w:cr/>
      </w:r>
    </w:p>
    <w:p w:rsidR="00EE0F4F" w:rsidRPr="00457554" w:rsidRDefault="00EE0F4F" w:rsidP="00EE0F4F">
      <w:pPr>
        <w:spacing w:after="200" w:line="276" w:lineRule="auto"/>
        <w:rPr>
          <w:rFonts w:asciiTheme="minorHAnsi" w:eastAsiaTheme="minorHAnsi" w:hAnsiTheme="minorHAnsi" w:cstheme="minorBidi"/>
          <w:sz w:val="22"/>
          <w:szCs w:val="22"/>
        </w:rPr>
      </w:pPr>
    </w:p>
    <w:p w:rsidR="008E33CA" w:rsidRPr="00EE0F4F" w:rsidRDefault="008E33CA" w:rsidP="008E33CA">
      <w:pPr>
        <w:pStyle w:val="Ttulo2"/>
        <w:rPr>
          <w:rFonts w:asciiTheme="minorHAnsi" w:hAnsiTheme="minorHAnsi" w:cstheme="minorHAnsi"/>
          <w:sz w:val="24"/>
          <w:szCs w:val="24"/>
          <w:lang w:val="es-ES"/>
        </w:rPr>
      </w:pPr>
    </w:p>
    <w:p w:rsidR="00E97D2F" w:rsidRPr="008E33CA" w:rsidRDefault="00E97D2F" w:rsidP="00273831">
      <w:pPr>
        <w:rPr>
          <w:rFonts w:asciiTheme="minorHAnsi" w:hAnsiTheme="minorHAnsi" w:cstheme="minorHAnsi"/>
          <w:sz w:val="22"/>
          <w:szCs w:val="22"/>
          <w:u w:val="single"/>
        </w:rPr>
      </w:pPr>
    </w:p>
    <w:sectPr w:rsidR="00E97D2F" w:rsidRPr="008E33CA" w:rsidSect="00AC684F">
      <w:headerReference w:type="default" r:id="rId8"/>
      <w:footerReference w:type="default" r:id="rId9"/>
      <w:pgSz w:w="11906" w:h="16838"/>
      <w:pgMar w:top="1677" w:right="1133" w:bottom="1417" w:left="1276"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673" w:rsidRDefault="00917673" w:rsidP="005B475A">
      <w:r>
        <w:separator/>
      </w:r>
    </w:p>
  </w:endnote>
  <w:endnote w:type="continuationSeparator" w:id="0">
    <w:p w:rsidR="00917673" w:rsidRDefault="00917673" w:rsidP="005B4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696386"/>
      <w:docPartObj>
        <w:docPartGallery w:val="Page Numbers (Bottom of Page)"/>
        <w:docPartUnique/>
      </w:docPartObj>
    </w:sdtPr>
    <w:sdtContent>
      <w:p w:rsidR="00342ADD" w:rsidRDefault="002E3594">
        <w:pPr>
          <w:pStyle w:val="Piedepgina"/>
          <w:jc w:val="right"/>
        </w:pPr>
        <w:r>
          <w:fldChar w:fldCharType="begin"/>
        </w:r>
        <w:r w:rsidR="00342ADD">
          <w:instrText>PAGE   \* MERGEFORMAT</w:instrText>
        </w:r>
        <w:r>
          <w:fldChar w:fldCharType="separate"/>
        </w:r>
        <w:r w:rsidR="0077355E" w:rsidRPr="0077355E">
          <w:rPr>
            <w:noProof/>
            <w:lang w:val="es-ES"/>
          </w:rPr>
          <w:t>12</w:t>
        </w:r>
        <w:r>
          <w:fldChar w:fldCharType="end"/>
        </w:r>
      </w:p>
    </w:sdtContent>
  </w:sdt>
  <w:p w:rsidR="00342ADD" w:rsidRDefault="00342AD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673" w:rsidRDefault="00917673" w:rsidP="005B475A">
      <w:r>
        <w:separator/>
      </w:r>
    </w:p>
  </w:footnote>
  <w:footnote w:type="continuationSeparator" w:id="0">
    <w:p w:rsidR="00917673" w:rsidRDefault="00917673" w:rsidP="005B4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ADD" w:rsidRDefault="00342ADD">
    <w:pPr>
      <w:pStyle w:val="Encabezado"/>
    </w:pPr>
    <w:r>
      <w:rPr>
        <w:noProof/>
        <w:lang w:eastAsia="es-ES_tradnl"/>
      </w:rPr>
      <w:drawing>
        <wp:inline distT="0" distB="0" distL="0" distR="0">
          <wp:extent cx="1866900" cy="659912"/>
          <wp:effectExtent l="0" t="0" r="0" b="698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AF-CG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70920" cy="66133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692A"/>
    <w:multiLevelType w:val="multilevel"/>
    <w:tmpl w:val="880CB55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eastAsiaTheme="minorHAnsi" w:hAnsiTheme="minorHAnsi" w:cstheme="minorBidi" w:hint="default"/>
        <w:i w:val="0"/>
        <w:sz w:val="22"/>
      </w:rPr>
    </w:lvl>
    <w:lvl w:ilvl="2">
      <w:start w:val="1"/>
      <w:numFmt w:val="decimal"/>
      <w:isLgl/>
      <w:lvlText w:val="%1.%2.%3."/>
      <w:lvlJc w:val="left"/>
      <w:pPr>
        <w:ind w:left="1080" w:hanging="720"/>
      </w:pPr>
      <w:rPr>
        <w:rFonts w:asciiTheme="minorHAnsi" w:eastAsiaTheme="minorHAnsi" w:hAnsiTheme="minorHAnsi" w:cstheme="minorBidi" w:hint="default"/>
        <w:i w:val="0"/>
        <w:sz w:val="22"/>
      </w:rPr>
    </w:lvl>
    <w:lvl w:ilvl="3">
      <w:start w:val="1"/>
      <w:numFmt w:val="decimal"/>
      <w:isLgl/>
      <w:lvlText w:val="%1.%2.%3.%4."/>
      <w:lvlJc w:val="left"/>
      <w:pPr>
        <w:ind w:left="1080" w:hanging="720"/>
      </w:pPr>
      <w:rPr>
        <w:rFonts w:asciiTheme="minorHAnsi" w:eastAsiaTheme="minorHAnsi" w:hAnsiTheme="minorHAnsi" w:cstheme="minorBidi" w:hint="default"/>
        <w:i w:val="0"/>
        <w:sz w:val="22"/>
      </w:rPr>
    </w:lvl>
    <w:lvl w:ilvl="4">
      <w:start w:val="1"/>
      <w:numFmt w:val="decimal"/>
      <w:isLgl/>
      <w:lvlText w:val="%1.%2.%3.%4.%5."/>
      <w:lvlJc w:val="left"/>
      <w:pPr>
        <w:ind w:left="1440" w:hanging="1080"/>
      </w:pPr>
      <w:rPr>
        <w:rFonts w:asciiTheme="minorHAnsi" w:eastAsiaTheme="minorHAnsi" w:hAnsiTheme="minorHAnsi" w:cstheme="minorBidi" w:hint="default"/>
        <w:i w:val="0"/>
        <w:sz w:val="22"/>
      </w:rPr>
    </w:lvl>
    <w:lvl w:ilvl="5">
      <w:start w:val="1"/>
      <w:numFmt w:val="decimal"/>
      <w:isLgl/>
      <w:lvlText w:val="%1.%2.%3.%4.%5.%6."/>
      <w:lvlJc w:val="left"/>
      <w:pPr>
        <w:ind w:left="1440" w:hanging="1080"/>
      </w:pPr>
      <w:rPr>
        <w:rFonts w:asciiTheme="minorHAnsi" w:eastAsiaTheme="minorHAnsi" w:hAnsiTheme="minorHAnsi" w:cstheme="minorBidi" w:hint="default"/>
        <w:i w:val="0"/>
        <w:sz w:val="22"/>
      </w:rPr>
    </w:lvl>
    <w:lvl w:ilvl="6">
      <w:start w:val="1"/>
      <w:numFmt w:val="decimal"/>
      <w:isLgl/>
      <w:lvlText w:val="%1.%2.%3.%4.%5.%6.%7."/>
      <w:lvlJc w:val="left"/>
      <w:pPr>
        <w:ind w:left="1800" w:hanging="1440"/>
      </w:pPr>
      <w:rPr>
        <w:rFonts w:asciiTheme="minorHAnsi" w:eastAsiaTheme="minorHAnsi" w:hAnsiTheme="minorHAnsi" w:cstheme="minorBidi" w:hint="default"/>
        <w:i w:val="0"/>
        <w:sz w:val="22"/>
      </w:rPr>
    </w:lvl>
    <w:lvl w:ilvl="7">
      <w:start w:val="1"/>
      <w:numFmt w:val="decimal"/>
      <w:isLgl/>
      <w:lvlText w:val="%1.%2.%3.%4.%5.%6.%7.%8."/>
      <w:lvlJc w:val="left"/>
      <w:pPr>
        <w:ind w:left="1800" w:hanging="1440"/>
      </w:pPr>
      <w:rPr>
        <w:rFonts w:asciiTheme="minorHAnsi" w:eastAsiaTheme="minorHAnsi" w:hAnsiTheme="minorHAnsi" w:cstheme="minorBidi" w:hint="default"/>
        <w:i w:val="0"/>
        <w:sz w:val="22"/>
      </w:rPr>
    </w:lvl>
    <w:lvl w:ilvl="8">
      <w:start w:val="1"/>
      <w:numFmt w:val="decimal"/>
      <w:isLgl/>
      <w:lvlText w:val="%1.%2.%3.%4.%5.%6.%7.%8.%9."/>
      <w:lvlJc w:val="left"/>
      <w:pPr>
        <w:ind w:left="2160" w:hanging="1800"/>
      </w:pPr>
      <w:rPr>
        <w:rFonts w:asciiTheme="minorHAnsi" w:eastAsiaTheme="minorHAnsi" w:hAnsiTheme="minorHAnsi" w:cstheme="minorBidi" w:hint="default"/>
        <w:i w:val="0"/>
        <w:sz w:val="22"/>
      </w:rPr>
    </w:lvl>
  </w:abstractNum>
  <w:abstractNum w:abstractNumId="1">
    <w:nsid w:val="0D5057B7"/>
    <w:multiLevelType w:val="hybridMultilevel"/>
    <w:tmpl w:val="9A80A76C"/>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2">
    <w:nsid w:val="122D0B21"/>
    <w:multiLevelType w:val="hybridMultilevel"/>
    <w:tmpl w:val="33EEABAC"/>
    <w:lvl w:ilvl="0" w:tplc="95D6A3D6">
      <w:start w:val="3"/>
      <w:numFmt w:val="bullet"/>
      <w:lvlText w:val="-"/>
      <w:lvlJc w:val="left"/>
      <w:pPr>
        <w:ind w:left="1068" w:hanging="360"/>
      </w:pPr>
      <w:rPr>
        <w:rFonts w:ascii="Times New Roman" w:eastAsia="Times New Roman" w:hAnsi="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12B02177"/>
    <w:multiLevelType w:val="hybridMultilevel"/>
    <w:tmpl w:val="257A22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6E6A68"/>
    <w:multiLevelType w:val="hybridMultilevel"/>
    <w:tmpl w:val="C3D8DA04"/>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5">
    <w:nsid w:val="252B27C1"/>
    <w:multiLevelType w:val="hybridMultilevel"/>
    <w:tmpl w:val="A2B68AEA"/>
    <w:lvl w:ilvl="0" w:tplc="95D6A3D6">
      <w:start w:val="3"/>
      <w:numFmt w:val="bullet"/>
      <w:lvlText w:val="-"/>
      <w:lvlJc w:val="left"/>
      <w:pPr>
        <w:ind w:left="720" w:hanging="360"/>
      </w:pPr>
      <w:rPr>
        <w:rFonts w:ascii="Times New Roman" w:eastAsia="Times New Roman" w:hAnsi="Times New Roman" w:hint="default"/>
      </w:rPr>
    </w:lvl>
    <w:lvl w:ilvl="1" w:tplc="95D6A3D6">
      <w:start w:val="3"/>
      <w:numFmt w:val="bullet"/>
      <w:lvlText w:val="-"/>
      <w:lvlJc w:val="left"/>
      <w:pPr>
        <w:ind w:left="1440" w:hanging="360"/>
      </w:pPr>
      <w:rPr>
        <w:rFonts w:ascii="Times New Roman" w:eastAsia="Times New Roman" w:hAnsi="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B16160A"/>
    <w:multiLevelType w:val="multilevel"/>
    <w:tmpl w:val="678E27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43D4F72"/>
    <w:multiLevelType w:val="multilevel"/>
    <w:tmpl w:val="880CB554"/>
    <w:lvl w:ilvl="0">
      <w:start w:val="1"/>
      <w:numFmt w:val="decimal"/>
      <w:lvlText w:val="%1."/>
      <w:lvlJc w:val="left"/>
      <w:pPr>
        <w:ind w:left="720" w:hanging="360"/>
      </w:pPr>
      <w:rPr>
        <w:rFonts w:hint="default"/>
        <w:i w:val="0"/>
      </w:rPr>
    </w:lvl>
    <w:lvl w:ilvl="1">
      <w:start w:val="3"/>
      <w:numFmt w:val="decimal"/>
      <w:isLgl/>
      <w:lvlText w:val="%1.%2."/>
      <w:lvlJc w:val="left"/>
      <w:pPr>
        <w:ind w:left="720" w:hanging="360"/>
      </w:pPr>
      <w:rPr>
        <w:rFonts w:asciiTheme="minorHAnsi" w:eastAsiaTheme="minorHAnsi" w:hAnsiTheme="minorHAnsi" w:cstheme="minorBidi" w:hint="default"/>
        <w:i w:val="0"/>
        <w:sz w:val="22"/>
      </w:rPr>
    </w:lvl>
    <w:lvl w:ilvl="2">
      <w:start w:val="1"/>
      <w:numFmt w:val="decimal"/>
      <w:isLgl/>
      <w:lvlText w:val="%1.%2.%3."/>
      <w:lvlJc w:val="left"/>
      <w:pPr>
        <w:ind w:left="1080" w:hanging="720"/>
      </w:pPr>
      <w:rPr>
        <w:rFonts w:asciiTheme="minorHAnsi" w:eastAsiaTheme="minorHAnsi" w:hAnsiTheme="minorHAnsi" w:cstheme="minorBidi" w:hint="default"/>
        <w:i w:val="0"/>
        <w:sz w:val="22"/>
      </w:rPr>
    </w:lvl>
    <w:lvl w:ilvl="3">
      <w:start w:val="1"/>
      <w:numFmt w:val="decimal"/>
      <w:isLgl/>
      <w:lvlText w:val="%1.%2.%3.%4."/>
      <w:lvlJc w:val="left"/>
      <w:pPr>
        <w:ind w:left="1080" w:hanging="720"/>
      </w:pPr>
      <w:rPr>
        <w:rFonts w:asciiTheme="minorHAnsi" w:eastAsiaTheme="minorHAnsi" w:hAnsiTheme="minorHAnsi" w:cstheme="minorBidi" w:hint="default"/>
        <w:i w:val="0"/>
        <w:sz w:val="22"/>
      </w:rPr>
    </w:lvl>
    <w:lvl w:ilvl="4">
      <w:start w:val="1"/>
      <w:numFmt w:val="decimal"/>
      <w:isLgl/>
      <w:lvlText w:val="%1.%2.%3.%4.%5."/>
      <w:lvlJc w:val="left"/>
      <w:pPr>
        <w:ind w:left="1440" w:hanging="1080"/>
      </w:pPr>
      <w:rPr>
        <w:rFonts w:asciiTheme="minorHAnsi" w:eastAsiaTheme="minorHAnsi" w:hAnsiTheme="minorHAnsi" w:cstheme="minorBidi" w:hint="default"/>
        <w:i w:val="0"/>
        <w:sz w:val="22"/>
      </w:rPr>
    </w:lvl>
    <w:lvl w:ilvl="5">
      <w:start w:val="1"/>
      <w:numFmt w:val="decimal"/>
      <w:isLgl/>
      <w:lvlText w:val="%1.%2.%3.%4.%5.%6."/>
      <w:lvlJc w:val="left"/>
      <w:pPr>
        <w:ind w:left="1440" w:hanging="1080"/>
      </w:pPr>
      <w:rPr>
        <w:rFonts w:asciiTheme="minorHAnsi" w:eastAsiaTheme="minorHAnsi" w:hAnsiTheme="minorHAnsi" w:cstheme="minorBidi" w:hint="default"/>
        <w:i w:val="0"/>
        <w:sz w:val="22"/>
      </w:rPr>
    </w:lvl>
    <w:lvl w:ilvl="6">
      <w:start w:val="1"/>
      <w:numFmt w:val="decimal"/>
      <w:isLgl/>
      <w:lvlText w:val="%1.%2.%3.%4.%5.%6.%7."/>
      <w:lvlJc w:val="left"/>
      <w:pPr>
        <w:ind w:left="1800" w:hanging="1440"/>
      </w:pPr>
      <w:rPr>
        <w:rFonts w:asciiTheme="minorHAnsi" w:eastAsiaTheme="minorHAnsi" w:hAnsiTheme="minorHAnsi" w:cstheme="minorBidi" w:hint="default"/>
        <w:i w:val="0"/>
        <w:sz w:val="22"/>
      </w:rPr>
    </w:lvl>
    <w:lvl w:ilvl="7">
      <w:start w:val="1"/>
      <w:numFmt w:val="decimal"/>
      <w:isLgl/>
      <w:lvlText w:val="%1.%2.%3.%4.%5.%6.%7.%8."/>
      <w:lvlJc w:val="left"/>
      <w:pPr>
        <w:ind w:left="1800" w:hanging="1440"/>
      </w:pPr>
      <w:rPr>
        <w:rFonts w:asciiTheme="minorHAnsi" w:eastAsiaTheme="minorHAnsi" w:hAnsiTheme="minorHAnsi" w:cstheme="minorBidi" w:hint="default"/>
        <w:i w:val="0"/>
        <w:sz w:val="22"/>
      </w:rPr>
    </w:lvl>
    <w:lvl w:ilvl="8">
      <w:start w:val="1"/>
      <w:numFmt w:val="decimal"/>
      <w:isLgl/>
      <w:lvlText w:val="%1.%2.%3.%4.%5.%6.%7.%8.%9."/>
      <w:lvlJc w:val="left"/>
      <w:pPr>
        <w:ind w:left="2160" w:hanging="1800"/>
      </w:pPr>
      <w:rPr>
        <w:rFonts w:asciiTheme="minorHAnsi" w:eastAsiaTheme="minorHAnsi" w:hAnsiTheme="minorHAnsi" w:cstheme="minorBidi" w:hint="default"/>
        <w:i w:val="0"/>
        <w:sz w:val="22"/>
      </w:rPr>
    </w:lvl>
  </w:abstractNum>
  <w:abstractNum w:abstractNumId="8">
    <w:nsid w:val="34B252F9"/>
    <w:multiLevelType w:val="hybridMultilevel"/>
    <w:tmpl w:val="2648E646"/>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36D66C23"/>
    <w:multiLevelType w:val="hybridMultilevel"/>
    <w:tmpl w:val="6C848AF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0">
    <w:nsid w:val="3E7B3C01"/>
    <w:multiLevelType w:val="hybridMultilevel"/>
    <w:tmpl w:val="1B70E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10D3935"/>
    <w:multiLevelType w:val="hybridMultilevel"/>
    <w:tmpl w:val="E13E8C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56694027"/>
    <w:multiLevelType w:val="hybridMultilevel"/>
    <w:tmpl w:val="A970AEE6"/>
    <w:lvl w:ilvl="0" w:tplc="5690436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573843C5"/>
    <w:multiLevelType w:val="hybridMultilevel"/>
    <w:tmpl w:val="D7E86844"/>
    <w:lvl w:ilvl="0" w:tplc="2C4EF88C">
      <w:start w:val="1"/>
      <w:numFmt w:val="bullet"/>
      <w:lvlText w:val="-"/>
      <w:lvlJc w:val="left"/>
      <w:pPr>
        <w:ind w:left="720" w:hanging="360"/>
      </w:pPr>
      <w:rPr>
        <w:rFonts w:ascii="Calibri" w:eastAsia="Times New Roman"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2326E2B"/>
    <w:multiLevelType w:val="hybridMultilevel"/>
    <w:tmpl w:val="574A1BA0"/>
    <w:lvl w:ilvl="0" w:tplc="39ACF156">
      <w:start w:val="1"/>
      <w:numFmt w:val="bullet"/>
      <w:lvlText w:val="-"/>
      <w:lvlJc w:val="left"/>
      <w:pPr>
        <w:ind w:left="720" w:hanging="360"/>
      </w:pPr>
      <w:rPr>
        <w:rFonts w:ascii="Calibri" w:eastAsiaTheme="minorHAnsi" w:hAnsi="Calibri"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23A2107"/>
    <w:multiLevelType w:val="hybridMultilevel"/>
    <w:tmpl w:val="45042D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63994078"/>
    <w:multiLevelType w:val="hybridMultilevel"/>
    <w:tmpl w:val="E4A07626"/>
    <w:lvl w:ilvl="0" w:tplc="95D6A3D6">
      <w:start w:val="3"/>
      <w:numFmt w:val="bullet"/>
      <w:lvlText w:val="-"/>
      <w:lvlJc w:val="left"/>
      <w:pPr>
        <w:ind w:left="1800" w:hanging="360"/>
      </w:pPr>
      <w:rPr>
        <w:rFonts w:ascii="Times New Roman" w:eastAsia="Times New Roman" w:hAnsi="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6D727554"/>
    <w:multiLevelType w:val="hybridMultilevel"/>
    <w:tmpl w:val="D71A8AC6"/>
    <w:lvl w:ilvl="0" w:tplc="39ACF156">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EE522A6"/>
    <w:multiLevelType w:val="hybridMultilevel"/>
    <w:tmpl w:val="AB4AB1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736F3797"/>
    <w:multiLevelType w:val="hybridMultilevel"/>
    <w:tmpl w:val="AF46B75A"/>
    <w:lvl w:ilvl="0" w:tplc="71C4FFCA">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
  </w:num>
  <w:num w:numId="2">
    <w:abstractNumId w:val="0"/>
  </w:num>
  <w:num w:numId="3">
    <w:abstractNumId w:val="18"/>
  </w:num>
  <w:num w:numId="4">
    <w:abstractNumId w:val="19"/>
  </w:num>
  <w:num w:numId="5">
    <w:abstractNumId w:val="12"/>
  </w:num>
  <w:num w:numId="6">
    <w:abstractNumId w:val="6"/>
  </w:num>
  <w:num w:numId="7">
    <w:abstractNumId w:val="17"/>
  </w:num>
  <w:num w:numId="8">
    <w:abstractNumId w:val="14"/>
  </w:num>
  <w:num w:numId="9">
    <w:abstractNumId w:val="15"/>
  </w:num>
  <w:num w:numId="10">
    <w:abstractNumId w:val="4"/>
  </w:num>
  <w:num w:numId="11">
    <w:abstractNumId w:val="1"/>
  </w:num>
  <w:num w:numId="12">
    <w:abstractNumId w:val="9"/>
  </w:num>
  <w:num w:numId="13">
    <w:abstractNumId w:val="5"/>
  </w:num>
  <w:num w:numId="14">
    <w:abstractNumId w:val="16"/>
  </w:num>
  <w:num w:numId="15">
    <w:abstractNumId w:val="2"/>
  </w:num>
  <w:num w:numId="16">
    <w:abstractNumId w:val="10"/>
  </w:num>
  <w:num w:numId="17">
    <w:abstractNumId w:val="13"/>
  </w:num>
  <w:num w:numId="18">
    <w:abstractNumId w:val="7"/>
  </w:num>
  <w:num w:numId="19">
    <w:abstractNumId w:val="11"/>
  </w:num>
  <w:num w:numId="20">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5F22E4"/>
    <w:rsid w:val="00006F88"/>
    <w:rsid w:val="0001235A"/>
    <w:rsid w:val="000153D1"/>
    <w:rsid w:val="00023F4E"/>
    <w:rsid w:val="0003037B"/>
    <w:rsid w:val="00030BE9"/>
    <w:rsid w:val="00033DC3"/>
    <w:rsid w:val="00043359"/>
    <w:rsid w:val="00044991"/>
    <w:rsid w:val="000451E7"/>
    <w:rsid w:val="00053806"/>
    <w:rsid w:val="00085E04"/>
    <w:rsid w:val="000934F8"/>
    <w:rsid w:val="000C607A"/>
    <w:rsid w:val="000D0A6D"/>
    <w:rsid w:val="000D5A15"/>
    <w:rsid w:val="000E4205"/>
    <w:rsid w:val="00100D19"/>
    <w:rsid w:val="00122F0D"/>
    <w:rsid w:val="00133839"/>
    <w:rsid w:val="00155539"/>
    <w:rsid w:val="001842A7"/>
    <w:rsid w:val="001B50CD"/>
    <w:rsid w:val="001F229B"/>
    <w:rsid w:val="001F7047"/>
    <w:rsid w:val="00201A81"/>
    <w:rsid w:val="00234EEA"/>
    <w:rsid w:val="00246BCB"/>
    <w:rsid w:val="00261534"/>
    <w:rsid w:val="00273831"/>
    <w:rsid w:val="002809EF"/>
    <w:rsid w:val="00291755"/>
    <w:rsid w:val="002A13D9"/>
    <w:rsid w:val="002D6E54"/>
    <w:rsid w:val="002E3594"/>
    <w:rsid w:val="002E774B"/>
    <w:rsid w:val="002F16E5"/>
    <w:rsid w:val="00313CD2"/>
    <w:rsid w:val="00316464"/>
    <w:rsid w:val="00322571"/>
    <w:rsid w:val="00323821"/>
    <w:rsid w:val="003269D6"/>
    <w:rsid w:val="00326C48"/>
    <w:rsid w:val="00337D0F"/>
    <w:rsid w:val="00340797"/>
    <w:rsid w:val="00342ADD"/>
    <w:rsid w:val="00350CDE"/>
    <w:rsid w:val="00353D79"/>
    <w:rsid w:val="003702A6"/>
    <w:rsid w:val="00392FDE"/>
    <w:rsid w:val="00396050"/>
    <w:rsid w:val="003D685B"/>
    <w:rsid w:val="003E302F"/>
    <w:rsid w:val="004073A5"/>
    <w:rsid w:val="0041383C"/>
    <w:rsid w:val="004226A8"/>
    <w:rsid w:val="004344B5"/>
    <w:rsid w:val="004377B2"/>
    <w:rsid w:val="00451E50"/>
    <w:rsid w:val="00455E49"/>
    <w:rsid w:val="00457554"/>
    <w:rsid w:val="00473760"/>
    <w:rsid w:val="00484AC0"/>
    <w:rsid w:val="004B10D2"/>
    <w:rsid w:val="004C3298"/>
    <w:rsid w:val="004F1AB1"/>
    <w:rsid w:val="00517788"/>
    <w:rsid w:val="00526DE6"/>
    <w:rsid w:val="00530493"/>
    <w:rsid w:val="0053097D"/>
    <w:rsid w:val="00534AB7"/>
    <w:rsid w:val="00544D3B"/>
    <w:rsid w:val="005510F6"/>
    <w:rsid w:val="0055737D"/>
    <w:rsid w:val="005718F5"/>
    <w:rsid w:val="0057520B"/>
    <w:rsid w:val="005767C7"/>
    <w:rsid w:val="00595DCE"/>
    <w:rsid w:val="005B475A"/>
    <w:rsid w:val="005D0524"/>
    <w:rsid w:val="005F22E4"/>
    <w:rsid w:val="00647FA9"/>
    <w:rsid w:val="00665A45"/>
    <w:rsid w:val="0068764F"/>
    <w:rsid w:val="0069291F"/>
    <w:rsid w:val="006B3C01"/>
    <w:rsid w:val="006C272A"/>
    <w:rsid w:val="006D5F31"/>
    <w:rsid w:val="006E6278"/>
    <w:rsid w:val="006E6DEC"/>
    <w:rsid w:val="00701359"/>
    <w:rsid w:val="00702B1A"/>
    <w:rsid w:val="0072773F"/>
    <w:rsid w:val="007609C4"/>
    <w:rsid w:val="00761D7B"/>
    <w:rsid w:val="00762F8F"/>
    <w:rsid w:val="0076415F"/>
    <w:rsid w:val="00770144"/>
    <w:rsid w:val="0077355E"/>
    <w:rsid w:val="007967B2"/>
    <w:rsid w:val="007A62A4"/>
    <w:rsid w:val="007A73EE"/>
    <w:rsid w:val="007E0C34"/>
    <w:rsid w:val="007E13A4"/>
    <w:rsid w:val="007E5BF7"/>
    <w:rsid w:val="007F20B7"/>
    <w:rsid w:val="00812CF4"/>
    <w:rsid w:val="00822E2D"/>
    <w:rsid w:val="0082735A"/>
    <w:rsid w:val="008322CB"/>
    <w:rsid w:val="00855960"/>
    <w:rsid w:val="00863818"/>
    <w:rsid w:val="0087168F"/>
    <w:rsid w:val="00880848"/>
    <w:rsid w:val="00895714"/>
    <w:rsid w:val="008A67F2"/>
    <w:rsid w:val="008B081A"/>
    <w:rsid w:val="008B1F96"/>
    <w:rsid w:val="008C666E"/>
    <w:rsid w:val="008D3E51"/>
    <w:rsid w:val="008D523D"/>
    <w:rsid w:val="008D5C06"/>
    <w:rsid w:val="008E33CA"/>
    <w:rsid w:val="008E3F53"/>
    <w:rsid w:val="00917673"/>
    <w:rsid w:val="009176FE"/>
    <w:rsid w:val="009364BC"/>
    <w:rsid w:val="00953380"/>
    <w:rsid w:val="00957A68"/>
    <w:rsid w:val="00964BFE"/>
    <w:rsid w:val="009669F5"/>
    <w:rsid w:val="009727E6"/>
    <w:rsid w:val="00982FFC"/>
    <w:rsid w:val="00987247"/>
    <w:rsid w:val="009921EE"/>
    <w:rsid w:val="009A05FC"/>
    <w:rsid w:val="009F07DB"/>
    <w:rsid w:val="00A2509D"/>
    <w:rsid w:val="00A42D16"/>
    <w:rsid w:val="00A52D92"/>
    <w:rsid w:val="00A62408"/>
    <w:rsid w:val="00A66ED0"/>
    <w:rsid w:val="00A84B82"/>
    <w:rsid w:val="00A91797"/>
    <w:rsid w:val="00A95BE9"/>
    <w:rsid w:val="00AC1352"/>
    <w:rsid w:val="00AC1F40"/>
    <w:rsid w:val="00AC684F"/>
    <w:rsid w:val="00AC7675"/>
    <w:rsid w:val="00AF3D59"/>
    <w:rsid w:val="00B51B88"/>
    <w:rsid w:val="00B6119E"/>
    <w:rsid w:val="00B76734"/>
    <w:rsid w:val="00B838DF"/>
    <w:rsid w:val="00B86626"/>
    <w:rsid w:val="00B8721E"/>
    <w:rsid w:val="00B9140C"/>
    <w:rsid w:val="00BA4528"/>
    <w:rsid w:val="00BC17AC"/>
    <w:rsid w:val="00BC341B"/>
    <w:rsid w:val="00BD2558"/>
    <w:rsid w:val="00BE0107"/>
    <w:rsid w:val="00BE3197"/>
    <w:rsid w:val="00BE435B"/>
    <w:rsid w:val="00BF3FD9"/>
    <w:rsid w:val="00BF6024"/>
    <w:rsid w:val="00C13864"/>
    <w:rsid w:val="00C15B96"/>
    <w:rsid w:val="00C15C3A"/>
    <w:rsid w:val="00C55CC4"/>
    <w:rsid w:val="00C563F3"/>
    <w:rsid w:val="00C57076"/>
    <w:rsid w:val="00C6087E"/>
    <w:rsid w:val="00CA0D13"/>
    <w:rsid w:val="00CA49D8"/>
    <w:rsid w:val="00CE057C"/>
    <w:rsid w:val="00D13BFF"/>
    <w:rsid w:val="00D17A8D"/>
    <w:rsid w:val="00D406E6"/>
    <w:rsid w:val="00D644F0"/>
    <w:rsid w:val="00D663E6"/>
    <w:rsid w:val="00D80BEE"/>
    <w:rsid w:val="00D81F50"/>
    <w:rsid w:val="00D90858"/>
    <w:rsid w:val="00D90F97"/>
    <w:rsid w:val="00DA02B8"/>
    <w:rsid w:val="00DD2302"/>
    <w:rsid w:val="00DD2F72"/>
    <w:rsid w:val="00DF4416"/>
    <w:rsid w:val="00DF765C"/>
    <w:rsid w:val="00E37317"/>
    <w:rsid w:val="00E42320"/>
    <w:rsid w:val="00E46B14"/>
    <w:rsid w:val="00E47D70"/>
    <w:rsid w:val="00E500D7"/>
    <w:rsid w:val="00E5048B"/>
    <w:rsid w:val="00E50D2B"/>
    <w:rsid w:val="00E5324C"/>
    <w:rsid w:val="00E708AE"/>
    <w:rsid w:val="00E949B3"/>
    <w:rsid w:val="00E96B5F"/>
    <w:rsid w:val="00E97D2F"/>
    <w:rsid w:val="00EB3FAC"/>
    <w:rsid w:val="00EE0F4F"/>
    <w:rsid w:val="00EF656A"/>
    <w:rsid w:val="00F15600"/>
    <w:rsid w:val="00F215C7"/>
    <w:rsid w:val="00F2182E"/>
    <w:rsid w:val="00F4743F"/>
    <w:rsid w:val="00F67CDE"/>
    <w:rsid w:val="00F72DC5"/>
    <w:rsid w:val="00F87099"/>
    <w:rsid w:val="00F93608"/>
    <w:rsid w:val="00FB4473"/>
    <w:rsid w:val="00FC2E9C"/>
    <w:rsid w:val="00FE7BDD"/>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B7"/>
    <w:rPr>
      <w:sz w:val="24"/>
      <w:szCs w:val="24"/>
      <w:lang w:val="es-ES_tradnl"/>
    </w:rPr>
  </w:style>
  <w:style w:type="paragraph" w:styleId="Ttulo1">
    <w:name w:val="heading 1"/>
    <w:basedOn w:val="Normal"/>
    <w:link w:val="Ttulo1Car"/>
    <w:qFormat/>
    <w:rsid w:val="00E500D7"/>
    <w:pPr>
      <w:spacing w:before="100" w:beforeAutospacing="1" w:after="100" w:afterAutospacing="1"/>
      <w:outlineLvl w:val="0"/>
    </w:pPr>
    <w:rPr>
      <w:b/>
      <w:bCs/>
      <w:kern w:val="36"/>
      <w:sz w:val="48"/>
      <w:szCs w:val="48"/>
      <w:lang w:eastAsia="es-ES_tradnl"/>
    </w:rPr>
  </w:style>
  <w:style w:type="paragraph" w:styleId="Ttulo2">
    <w:name w:val="heading 2"/>
    <w:basedOn w:val="Normal"/>
    <w:link w:val="Ttulo2Car"/>
    <w:qFormat/>
    <w:rsid w:val="00E500D7"/>
    <w:pPr>
      <w:spacing w:before="100" w:beforeAutospacing="1" w:after="100" w:afterAutospacing="1"/>
      <w:outlineLvl w:val="1"/>
    </w:pPr>
    <w:rPr>
      <w:b/>
      <w:bCs/>
      <w:sz w:val="36"/>
      <w:szCs w:val="36"/>
      <w:lang w:eastAsia="es-ES_tradnl"/>
    </w:rPr>
  </w:style>
  <w:style w:type="paragraph" w:styleId="Ttulo3">
    <w:name w:val="heading 3"/>
    <w:basedOn w:val="Normal"/>
    <w:link w:val="Ttulo3Car"/>
    <w:qFormat/>
    <w:rsid w:val="00E500D7"/>
    <w:pPr>
      <w:spacing w:before="100" w:beforeAutospacing="1" w:after="100" w:afterAutospacing="1"/>
      <w:outlineLvl w:val="2"/>
    </w:pPr>
    <w:rPr>
      <w:b/>
      <w:bCs/>
      <w:sz w:val="27"/>
      <w:szCs w:val="27"/>
      <w:lang w:eastAsia="es-ES_tradnl"/>
    </w:rPr>
  </w:style>
  <w:style w:type="paragraph" w:styleId="Ttulo4">
    <w:name w:val="heading 4"/>
    <w:basedOn w:val="Normal"/>
    <w:link w:val="Ttulo4Car"/>
    <w:qFormat/>
    <w:rsid w:val="00E500D7"/>
    <w:pPr>
      <w:spacing w:before="100" w:beforeAutospacing="1" w:after="100" w:afterAutospacing="1"/>
      <w:outlineLvl w:val="3"/>
    </w:pPr>
    <w:rPr>
      <w:b/>
      <w:bCs/>
      <w:lang w:eastAsia="es-ES_tradnl"/>
    </w:rPr>
  </w:style>
  <w:style w:type="paragraph" w:styleId="Ttulo5">
    <w:name w:val="heading 5"/>
    <w:basedOn w:val="Normal"/>
    <w:next w:val="Normal"/>
    <w:link w:val="Ttulo5Car"/>
    <w:qFormat/>
    <w:rsid w:val="00E500D7"/>
    <w:pPr>
      <w:keepNext/>
      <w:jc w:val="center"/>
      <w:outlineLvl w:val="4"/>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0D7"/>
    <w:rPr>
      <w:b/>
      <w:bCs/>
      <w:kern w:val="36"/>
      <w:sz w:val="48"/>
      <w:szCs w:val="48"/>
      <w:lang w:val="es-ES_tradnl" w:eastAsia="es-ES_tradnl"/>
    </w:rPr>
  </w:style>
  <w:style w:type="character" w:customStyle="1" w:styleId="Ttulo2Car">
    <w:name w:val="Título 2 Car"/>
    <w:basedOn w:val="Fuentedeprrafopredeter"/>
    <w:link w:val="Ttulo2"/>
    <w:rsid w:val="00E500D7"/>
    <w:rPr>
      <w:b/>
      <w:bCs/>
      <w:sz w:val="36"/>
      <w:szCs w:val="36"/>
      <w:lang w:val="es-ES_tradnl" w:eastAsia="es-ES_tradnl"/>
    </w:rPr>
  </w:style>
  <w:style w:type="character" w:customStyle="1" w:styleId="Ttulo3Car">
    <w:name w:val="Título 3 Car"/>
    <w:basedOn w:val="Fuentedeprrafopredeter"/>
    <w:link w:val="Ttulo3"/>
    <w:rsid w:val="00E500D7"/>
    <w:rPr>
      <w:b/>
      <w:bCs/>
      <w:sz w:val="27"/>
      <w:szCs w:val="27"/>
      <w:lang w:val="es-ES_tradnl" w:eastAsia="es-ES_tradnl"/>
    </w:rPr>
  </w:style>
  <w:style w:type="character" w:customStyle="1" w:styleId="Ttulo4Car">
    <w:name w:val="Título 4 Car"/>
    <w:basedOn w:val="Fuentedeprrafopredeter"/>
    <w:link w:val="Ttulo4"/>
    <w:rsid w:val="00E500D7"/>
    <w:rPr>
      <w:b/>
      <w:bCs/>
      <w:sz w:val="24"/>
      <w:szCs w:val="24"/>
      <w:lang w:val="es-ES_tradnl" w:eastAsia="es-ES_tradnl"/>
    </w:rPr>
  </w:style>
  <w:style w:type="character" w:customStyle="1" w:styleId="Ttulo5Car">
    <w:name w:val="Título 5 Car"/>
    <w:basedOn w:val="Fuentedeprrafopredeter"/>
    <w:link w:val="Ttulo5"/>
    <w:rsid w:val="00E500D7"/>
    <w:rPr>
      <w:b/>
      <w:sz w:val="24"/>
      <w:szCs w:val="24"/>
      <w:lang w:val="es-ES_tradnl"/>
    </w:rPr>
  </w:style>
  <w:style w:type="paragraph" w:styleId="TDC1">
    <w:name w:val="toc 1"/>
    <w:basedOn w:val="Normal"/>
    <w:next w:val="Normal"/>
    <w:autoRedefine/>
    <w:uiPriority w:val="39"/>
    <w:unhideWhenUsed/>
    <w:qFormat/>
    <w:rsid w:val="00E500D7"/>
    <w:pPr>
      <w:spacing w:before="120" w:after="120"/>
    </w:pPr>
    <w:rPr>
      <w:rFonts w:ascii="Calibri" w:hAnsi="Calibri"/>
      <w:b/>
      <w:bCs/>
      <w:caps/>
      <w:sz w:val="20"/>
      <w:szCs w:val="20"/>
    </w:rPr>
  </w:style>
  <w:style w:type="paragraph" w:styleId="TDC2">
    <w:name w:val="toc 2"/>
    <w:basedOn w:val="Normal"/>
    <w:next w:val="Normal"/>
    <w:autoRedefine/>
    <w:uiPriority w:val="39"/>
    <w:unhideWhenUsed/>
    <w:qFormat/>
    <w:rsid w:val="00E500D7"/>
    <w:pPr>
      <w:ind w:left="240"/>
    </w:pPr>
    <w:rPr>
      <w:rFonts w:ascii="Calibri" w:hAnsi="Calibri"/>
      <w:smallCaps/>
      <w:sz w:val="20"/>
      <w:szCs w:val="20"/>
    </w:rPr>
  </w:style>
  <w:style w:type="paragraph" w:styleId="TDC3">
    <w:name w:val="toc 3"/>
    <w:basedOn w:val="Normal"/>
    <w:next w:val="Normal"/>
    <w:autoRedefine/>
    <w:uiPriority w:val="39"/>
    <w:unhideWhenUsed/>
    <w:qFormat/>
    <w:rsid w:val="00E500D7"/>
    <w:pPr>
      <w:ind w:left="480"/>
    </w:pPr>
    <w:rPr>
      <w:rFonts w:ascii="Calibri" w:hAnsi="Calibri"/>
      <w:i/>
      <w:iCs/>
      <w:sz w:val="20"/>
      <w:szCs w:val="20"/>
    </w:rPr>
  </w:style>
  <w:style w:type="paragraph" w:styleId="Prrafodelista">
    <w:name w:val="List Paragraph"/>
    <w:basedOn w:val="Normal"/>
    <w:uiPriority w:val="34"/>
    <w:qFormat/>
    <w:rsid w:val="00E500D7"/>
    <w:pPr>
      <w:ind w:left="720"/>
      <w:contextualSpacing/>
    </w:pPr>
  </w:style>
  <w:style w:type="character" w:styleId="nfasissutil">
    <w:name w:val="Subtle Emphasis"/>
    <w:uiPriority w:val="19"/>
    <w:qFormat/>
    <w:rsid w:val="00E500D7"/>
    <w:rPr>
      <w:i/>
      <w:iCs/>
      <w:color w:val="808080"/>
    </w:rPr>
  </w:style>
  <w:style w:type="paragraph" w:styleId="TtulodeTDC">
    <w:name w:val="TOC Heading"/>
    <w:basedOn w:val="Ttulo1"/>
    <w:next w:val="Normal"/>
    <w:uiPriority w:val="39"/>
    <w:qFormat/>
    <w:rsid w:val="00E500D7"/>
    <w:pPr>
      <w:keepNext/>
      <w:keepLines/>
      <w:spacing w:before="480" w:beforeAutospacing="0" w:after="0" w:afterAutospacing="0" w:line="276" w:lineRule="auto"/>
      <w:outlineLvl w:val="9"/>
    </w:pPr>
    <w:rPr>
      <w:rFonts w:ascii="Cambria" w:hAnsi="Cambria"/>
      <w:color w:val="365F91"/>
      <w:kern w:val="0"/>
      <w:sz w:val="28"/>
      <w:szCs w:val="28"/>
      <w:lang w:val="es-ES" w:eastAsia="en-US"/>
    </w:rPr>
  </w:style>
  <w:style w:type="character" w:styleId="Refdecomentario">
    <w:name w:val="annotation reference"/>
    <w:basedOn w:val="Fuentedeprrafopredeter"/>
    <w:uiPriority w:val="99"/>
    <w:semiHidden/>
    <w:unhideWhenUsed/>
    <w:rsid w:val="005F22E4"/>
    <w:rPr>
      <w:sz w:val="16"/>
      <w:szCs w:val="16"/>
    </w:rPr>
  </w:style>
  <w:style w:type="paragraph" w:styleId="Textocomentario">
    <w:name w:val="annotation text"/>
    <w:basedOn w:val="Normal"/>
    <w:link w:val="TextocomentarioCar"/>
    <w:uiPriority w:val="99"/>
    <w:semiHidden/>
    <w:unhideWhenUsed/>
    <w:rsid w:val="005F22E4"/>
    <w:pPr>
      <w:spacing w:after="200"/>
    </w:pPr>
    <w:rPr>
      <w:rFonts w:asciiTheme="minorHAnsi" w:eastAsiaTheme="minorHAnsi" w:hAnsiTheme="minorHAnsi" w:cstheme="minorBidi"/>
      <w:sz w:val="20"/>
      <w:szCs w:val="20"/>
      <w:lang w:val="es-ES"/>
    </w:rPr>
  </w:style>
  <w:style w:type="character" w:customStyle="1" w:styleId="TextocomentarioCar">
    <w:name w:val="Texto comentario Car"/>
    <w:basedOn w:val="Fuentedeprrafopredeter"/>
    <w:link w:val="Textocomentario"/>
    <w:uiPriority w:val="99"/>
    <w:semiHidden/>
    <w:rsid w:val="005F22E4"/>
    <w:rPr>
      <w:rFonts w:asciiTheme="minorHAnsi" w:eastAsiaTheme="minorHAnsi" w:hAnsiTheme="minorHAnsi" w:cstheme="minorBidi"/>
    </w:rPr>
  </w:style>
  <w:style w:type="paragraph" w:styleId="Textodeglobo">
    <w:name w:val="Balloon Text"/>
    <w:basedOn w:val="Normal"/>
    <w:link w:val="TextodegloboCar"/>
    <w:uiPriority w:val="99"/>
    <w:semiHidden/>
    <w:unhideWhenUsed/>
    <w:rsid w:val="005F22E4"/>
    <w:rPr>
      <w:rFonts w:ascii="Tahoma" w:hAnsi="Tahoma" w:cs="Tahoma"/>
      <w:sz w:val="16"/>
      <w:szCs w:val="16"/>
    </w:rPr>
  </w:style>
  <w:style w:type="character" w:customStyle="1" w:styleId="TextodegloboCar">
    <w:name w:val="Texto de globo Car"/>
    <w:basedOn w:val="Fuentedeprrafopredeter"/>
    <w:link w:val="Textodeglobo"/>
    <w:uiPriority w:val="99"/>
    <w:semiHidden/>
    <w:rsid w:val="005F22E4"/>
    <w:rPr>
      <w:rFonts w:ascii="Tahoma" w:hAnsi="Tahoma" w:cs="Tahoma"/>
      <w:sz w:val="16"/>
      <w:szCs w:val="16"/>
      <w:lang w:val="es-ES_tradnl"/>
    </w:rPr>
  </w:style>
  <w:style w:type="paragraph" w:customStyle="1" w:styleId="parrafo">
    <w:name w:val="parrafo"/>
    <w:basedOn w:val="Normal"/>
    <w:rsid w:val="002D6E54"/>
    <w:pPr>
      <w:spacing w:before="100" w:beforeAutospacing="1" w:after="100" w:afterAutospacing="1"/>
    </w:pPr>
    <w:rPr>
      <w:lang w:val="es-ES" w:eastAsia="es-ES"/>
    </w:rPr>
  </w:style>
  <w:style w:type="paragraph" w:customStyle="1" w:styleId="parrafo2">
    <w:name w:val="parrafo_2"/>
    <w:basedOn w:val="Normal"/>
    <w:rsid w:val="002D6E54"/>
    <w:pPr>
      <w:spacing w:before="100" w:beforeAutospacing="1" w:after="100" w:afterAutospacing="1"/>
    </w:pPr>
    <w:rPr>
      <w:lang w:val="es-ES" w:eastAsia="es-ES"/>
    </w:rPr>
  </w:style>
  <w:style w:type="paragraph" w:styleId="Asuntodelcomentario">
    <w:name w:val="annotation subject"/>
    <w:basedOn w:val="Textocomentario"/>
    <w:next w:val="Textocomentario"/>
    <w:link w:val="AsuntodelcomentarioCar"/>
    <w:uiPriority w:val="99"/>
    <w:semiHidden/>
    <w:unhideWhenUsed/>
    <w:rsid w:val="004C3298"/>
    <w:pPr>
      <w:spacing w:after="0"/>
    </w:pPr>
    <w:rPr>
      <w:rFonts w:ascii="Times New Roman" w:eastAsia="Times New Roman" w:hAnsi="Times New Roman" w:cs="Times New Roman"/>
      <w:b/>
      <w:bCs/>
      <w:lang w:val="es-ES_tradnl"/>
    </w:rPr>
  </w:style>
  <w:style w:type="character" w:customStyle="1" w:styleId="AsuntodelcomentarioCar">
    <w:name w:val="Asunto del comentario Car"/>
    <w:basedOn w:val="TextocomentarioCar"/>
    <w:link w:val="Asuntodelcomentario"/>
    <w:uiPriority w:val="99"/>
    <w:semiHidden/>
    <w:rsid w:val="004C3298"/>
    <w:rPr>
      <w:rFonts w:asciiTheme="minorHAnsi" w:eastAsiaTheme="minorHAnsi" w:hAnsiTheme="minorHAnsi" w:cstheme="minorBidi"/>
      <w:b/>
      <w:bCs/>
      <w:lang w:val="es-ES_tradnl"/>
    </w:rPr>
  </w:style>
  <w:style w:type="paragraph" w:styleId="Textonotapie">
    <w:name w:val="footnote text"/>
    <w:basedOn w:val="Normal"/>
    <w:link w:val="TextonotapieCar"/>
    <w:uiPriority w:val="99"/>
    <w:semiHidden/>
    <w:unhideWhenUsed/>
    <w:rsid w:val="005B475A"/>
    <w:rPr>
      <w:sz w:val="20"/>
      <w:szCs w:val="20"/>
    </w:rPr>
  </w:style>
  <w:style w:type="character" w:customStyle="1" w:styleId="TextonotapieCar">
    <w:name w:val="Texto nota pie Car"/>
    <w:basedOn w:val="Fuentedeprrafopredeter"/>
    <w:link w:val="Textonotapie"/>
    <w:uiPriority w:val="99"/>
    <w:semiHidden/>
    <w:rsid w:val="005B475A"/>
    <w:rPr>
      <w:lang w:val="es-ES_tradnl"/>
    </w:rPr>
  </w:style>
  <w:style w:type="character" w:styleId="Refdenotaalpie">
    <w:name w:val="footnote reference"/>
    <w:basedOn w:val="Fuentedeprrafopredeter"/>
    <w:uiPriority w:val="99"/>
    <w:semiHidden/>
    <w:unhideWhenUsed/>
    <w:rsid w:val="005B475A"/>
    <w:rPr>
      <w:vertAlign w:val="superscript"/>
    </w:rPr>
  </w:style>
  <w:style w:type="character" w:styleId="Hipervnculo">
    <w:name w:val="Hyperlink"/>
    <w:basedOn w:val="Fuentedeprrafopredeter"/>
    <w:uiPriority w:val="99"/>
    <w:unhideWhenUsed/>
    <w:rsid w:val="005B475A"/>
    <w:rPr>
      <w:color w:val="0000FF" w:themeColor="hyperlink"/>
      <w:u w:val="single"/>
    </w:rPr>
  </w:style>
  <w:style w:type="character" w:styleId="Hipervnculovisitado">
    <w:name w:val="FollowedHyperlink"/>
    <w:basedOn w:val="Fuentedeprrafopredeter"/>
    <w:uiPriority w:val="99"/>
    <w:semiHidden/>
    <w:unhideWhenUsed/>
    <w:rsid w:val="005B475A"/>
    <w:rPr>
      <w:color w:val="800080" w:themeColor="followedHyperlink"/>
      <w:u w:val="single"/>
    </w:rPr>
  </w:style>
  <w:style w:type="paragraph" w:styleId="Encabezado">
    <w:name w:val="header"/>
    <w:basedOn w:val="Normal"/>
    <w:link w:val="EncabezadoCar"/>
    <w:uiPriority w:val="99"/>
    <w:unhideWhenUsed/>
    <w:rsid w:val="00AC684F"/>
    <w:pPr>
      <w:tabs>
        <w:tab w:val="center" w:pos="4252"/>
        <w:tab w:val="right" w:pos="8504"/>
      </w:tabs>
    </w:pPr>
  </w:style>
  <w:style w:type="character" w:customStyle="1" w:styleId="EncabezadoCar">
    <w:name w:val="Encabezado Car"/>
    <w:basedOn w:val="Fuentedeprrafopredeter"/>
    <w:link w:val="Encabezado"/>
    <w:uiPriority w:val="99"/>
    <w:rsid w:val="00AC684F"/>
    <w:rPr>
      <w:sz w:val="24"/>
      <w:szCs w:val="24"/>
      <w:lang w:val="es-ES_tradnl"/>
    </w:rPr>
  </w:style>
  <w:style w:type="paragraph" w:styleId="Piedepgina">
    <w:name w:val="footer"/>
    <w:basedOn w:val="Normal"/>
    <w:link w:val="PiedepginaCar"/>
    <w:uiPriority w:val="99"/>
    <w:unhideWhenUsed/>
    <w:rsid w:val="00AC684F"/>
    <w:pPr>
      <w:tabs>
        <w:tab w:val="center" w:pos="4252"/>
        <w:tab w:val="right" w:pos="8504"/>
      </w:tabs>
    </w:pPr>
  </w:style>
  <w:style w:type="character" w:customStyle="1" w:styleId="PiedepginaCar">
    <w:name w:val="Pie de página Car"/>
    <w:basedOn w:val="Fuentedeprrafopredeter"/>
    <w:link w:val="Piedepgina"/>
    <w:uiPriority w:val="99"/>
    <w:rsid w:val="00AC684F"/>
    <w:rPr>
      <w:sz w:val="24"/>
      <w:szCs w:val="24"/>
      <w:lang w:val="es-ES_tradnl"/>
    </w:rPr>
  </w:style>
  <w:style w:type="paragraph" w:styleId="NormalWeb">
    <w:name w:val="Normal (Web)"/>
    <w:basedOn w:val="Normal"/>
    <w:uiPriority w:val="99"/>
    <w:semiHidden/>
    <w:unhideWhenUsed/>
    <w:rsid w:val="007609C4"/>
    <w:pPr>
      <w:spacing w:before="100" w:beforeAutospacing="1" w:after="100" w:afterAutospacing="1"/>
    </w:pPr>
    <w:rPr>
      <w:lang w:val="es-ES" w:eastAsia="es-ES"/>
    </w:rPr>
  </w:style>
  <w:style w:type="character" w:styleId="Textoennegrita">
    <w:name w:val="Strong"/>
    <w:basedOn w:val="Fuentedeprrafopredeter"/>
    <w:uiPriority w:val="22"/>
    <w:qFormat/>
    <w:rsid w:val="007609C4"/>
    <w:rPr>
      <w:b/>
      <w:bCs/>
    </w:rPr>
  </w:style>
  <w:style w:type="paragraph" w:styleId="Textoindependiente">
    <w:name w:val="Body Text"/>
    <w:basedOn w:val="Normal"/>
    <w:link w:val="TextoindependienteCar"/>
    <w:uiPriority w:val="99"/>
    <w:semiHidden/>
    <w:rsid w:val="00D80BEE"/>
    <w:pPr>
      <w:jc w:val="both"/>
    </w:pPr>
    <w:rPr>
      <w:lang w:val="es-ES" w:eastAsia="es-ES"/>
    </w:rPr>
  </w:style>
  <w:style w:type="character" w:customStyle="1" w:styleId="TextoindependienteCar">
    <w:name w:val="Texto independiente Car"/>
    <w:basedOn w:val="Fuentedeprrafopredeter"/>
    <w:link w:val="Textoindependiente"/>
    <w:uiPriority w:val="99"/>
    <w:semiHidden/>
    <w:rsid w:val="00D80BEE"/>
    <w:rPr>
      <w:sz w:val="24"/>
      <w:szCs w:val="24"/>
      <w:lang w:eastAsia="es-ES"/>
    </w:rPr>
  </w:style>
  <w:style w:type="table" w:styleId="Tablaconcuadrcula">
    <w:name w:val="Table Grid"/>
    <w:basedOn w:val="Tablanormal"/>
    <w:uiPriority w:val="39"/>
    <w:rsid w:val="00E97D2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1730795">
      <w:bodyDiv w:val="1"/>
      <w:marLeft w:val="0"/>
      <w:marRight w:val="0"/>
      <w:marTop w:val="0"/>
      <w:marBottom w:val="0"/>
      <w:divBdr>
        <w:top w:val="none" w:sz="0" w:space="0" w:color="auto"/>
        <w:left w:val="none" w:sz="0" w:space="0" w:color="auto"/>
        <w:bottom w:val="none" w:sz="0" w:space="0" w:color="auto"/>
        <w:right w:val="none" w:sz="0" w:space="0" w:color="auto"/>
      </w:divBdr>
    </w:div>
    <w:div w:id="625547502">
      <w:bodyDiv w:val="1"/>
      <w:marLeft w:val="0"/>
      <w:marRight w:val="0"/>
      <w:marTop w:val="0"/>
      <w:marBottom w:val="0"/>
      <w:divBdr>
        <w:top w:val="none" w:sz="0" w:space="0" w:color="auto"/>
        <w:left w:val="none" w:sz="0" w:space="0" w:color="auto"/>
        <w:bottom w:val="none" w:sz="0" w:space="0" w:color="auto"/>
        <w:right w:val="none" w:sz="0" w:space="0" w:color="auto"/>
      </w:divBdr>
    </w:div>
    <w:div w:id="742264275">
      <w:bodyDiv w:val="1"/>
      <w:marLeft w:val="0"/>
      <w:marRight w:val="0"/>
      <w:marTop w:val="0"/>
      <w:marBottom w:val="0"/>
      <w:divBdr>
        <w:top w:val="none" w:sz="0" w:space="0" w:color="auto"/>
        <w:left w:val="none" w:sz="0" w:space="0" w:color="auto"/>
        <w:bottom w:val="none" w:sz="0" w:space="0" w:color="auto"/>
        <w:right w:val="none" w:sz="0" w:space="0" w:color="auto"/>
      </w:divBdr>
    </w:div>
    <w:div w:id="803276562">
      <w:bodyDiv w:val="1"/>
      <w:marLeft w:val="0"/>
      <w:marRight w:val="0"/>
      <w:marTop w:val="0"/>
      <w:marBottom w:val="0"/>
      <w:divBdr>
        <w:top w:val="none" w:sz="0" w:space="0" w:color="auto"/>
        <w:left w:val="none" w:sz="0" w:space="0" w:color="auto"/>
        <w:bottom w:val="none" w:sz="0" w:space="0" w:color="auto"/>
        <w:right w:val="none" w:sz="0" w:space="0" w:color="auto"/>
      </w:divBdr>
    </w:div>
    <w:div w:id="916016710">
      <w:bodyDiv w:val="1"/>
      <w:marLeft w:val="0"/>
      <w:marRight w:val="0"/>
      <w:marTop w:val="0"/>
      <w:marBottom w:val="0"/>
      <w:divBdr>
        <w:top w:val="none" w:sz="0" w:space="0" w:color="auto"/>
        <w:left w:val="none" w:sz="0" w:space="0" w:color="auto"/>
        <w:bottom w:val="none" w:sz="0" w:space="0" w:color="auto"/>
        <w:right w:val="none" w:sz="0" w:space="0" w:color="auto"/>
      </w:divBdr>
    </w:div>
    <w:div w:id="1104230516">
      <w:bodyDiv w:val="1"/>
      <w:marLeft w:val="0"/>
      <w:marRight w:val="0"/>
      <w:marTop w:val="0"/>
      <w:marBottom w:val="0"/>
      <w:divBdr>
        <w:top w:val="none" w:sz="0" w:space="0" w:color="auto"/>
        <w:left w:val="none" w:sz="0" w:space="0" w:color="auto"/>
        <w:bottom w:val="none" w:sz="0" w:space="0" w:color="auto"/>
        <w:right w:val="none" w:sz="0" w:space="0" w:color="auto"/>
      </w:divBdr>
    </w:div>
    <w:div w:id="1275672058">
      <w:bodyDiv w:val="1"/>
      <w:marLeft w:val="0"/>
      <w:marRight w:val="0"/>
      <w:marTop w:val="0"/>
      <w:marBottom w:val="0"/>
      <w:divBdr>
        <w:top w:val="none" w:sz="0" w:space="0" w:color="auto"/>
        <w:left w:val="none" w:sz="0" w:space="0" w:color="auto"/>
        <w:bottom w:val="none" w:sz="0" w:space="0" w:color="auto"/>
        <w:right w:val="none" w:sz="0" w:space="0" w:color="auto"/>
      </w:divBdr>
    </w:div>
    <w:div w:id="1370882445">
      <w:bodyDiv w:val="1"/>
      <w:marLeft w:val="0"/>
      <w:marRight w:val="0"/>
      <w:marTop w:val="0"/>
      <w:marBottom w:val="0"/>
      <w:divBdr>
        <w:top w:val="none" w:sz="0" w:space="0" w:color="auto"/>
        <w:left w:val="none" w:sz="0" w:space="0" w:color="auto"/>
        <w:bottom w:val="none" w:sz="0" w:space="0" w:color="auto"/>
        <w:right w:val="none" w:sz="0" w:space="0" w:color="auto"/>
      </w:divBdr>
    </w:div>
    <w:div w:id="1558127602">
      <w:bodyDiv w:val="1"/>
      <w:marLeft w:val="0"/>
      <w:marRight w:val="0"/>
      <w:marTop w:val="0"/>
      <w:marBottom w:val="0"/>
      <w:divBdr>
        <w:top w:val="none" w:sz="0" w:space="0" w:color="auto"/>
        <w:left w:val="none" w:sz="0" w:space="0" w:color="auto"/>
        <w:bottom w:val="none" w:sz="0" w:space="0" w:color="auto"/>
        <w:right w:val="none" w:sz="0" w:space="0" w:color="auto"/>
      </w:divBdr>
    </w:div>
    <w:div w:id="1572039946">
      <w:bodyDiv w:val="1"/>
      <w:marLeft w:val="0"/>
      <w:marRight w:val="0"/>
      <w:marTop w:val="0"/>
      <w:marBottom w:val="0"/>
      <w:divBdr>
        <w:top w:val="none" w:sz="0" w:space="0" w:color="auto"/>
        <w:left w:val="none" w:sz="0" w:space="0" w:color="auto"/>
        <w:bottom w:val="none" w:sz="0" w:space="0" w:color="auto"/>
        <w:right w:val="none" w:sz="0" w:space="0" w:color="auto"/>
      </w:divBdr>
    </w:div>
    <w:div w:id="1577547378">
      <w:bodyDiv w:val="1"/>
      <w:marLeft w:val="0"/>
      <w:marRight w:val="0"/>
      <w:marTop w:val="0"/>
      <w:marBottom w:val="0"/>
      <w:divBdr>
        <w:top w:val="none" w:sz="0" w:space="0" w:color="auto"/>
        <w:left w:val="none" w:sz="0" w:space="0" w:color="auto"/>
        <w:bottom w:val="none" w:sz="0" w:space="0" w:color="auto"/>
        <w:right w:val="none" w:sz="0" w:space="0" w:color="auto"/>
      </w:divBdr>
    </w:div>
    <w:div w:id="1647666325">
      <w:bodyDiv w:val="1"/>
      <w:marLeft w:val="0"/>
      <w:marRight w:val="0"/>
      <w:marTop w:val="0"/>
      <w:marBottom w:val="0"/>
      <w:divBdr>
        <w:top w:val="none" w:sz="0" w:space="0" w:color="auto"/>
        <w:left w:val="none" w:sz="0" w:space="0" w:color="auto"/>
        <w:bottom w:val="none" w:sz="0" w:space="0" w:color="auto"/>
        <w:right w:val="none" w:sz="0" w:space="0" w:color="auto"/>
      </w:divBdr>
    </w:div>
    <w:div w:id="1692880114">
      <w:bodyDiv w:val="1"/>
      <w:marLeft w:val="0"/>
      <w:marRight w:val="0"/>
      <w:marTop w:val="0"/>
      <w:marBottom w:val="0"/>
      <w:divBdr>
        <w:top w:val="none" w:sz="0" w:space="0" w:color="auto"/>
        <w:left w:val="none" w:sz="0" w:space="0" w:color="auto"/>
        <w:bottom w:val="none" w:sz="0" w:space="0" w:color="auto"/>
        <w:right w:val="none" w:sz="0" w:space="0" w:color="auto"/>
      </w:divBdr>
    </w:div>
    <w:div w:id="1702628002">
      <w:bodyDiv w:val="1"/>
      <w:marLeft w:val="0"/>
      <w:marRight w:val="0"/>
      <w:marTop w:val="0"/>
      <w:marBottom w:val="0"/>
      <w:divBdr>
        <w:top w:val="none" w:sz="0" w:space="0" w:color="auto"/>
        <w:left w:val="none" w:sz="0" w:space="0" w:color="auto"/>
        <w:bottom w:val="none" w:sz="0" w:space="0" w:color="auto"/>
        <w:right w:val="none" w:sz="0" w:space="0" w:color="auto"/>
      </w:divBdr>
    </w:div>
    <w:div w:id="1727290840">
      <w:bodyDiv w:val="1"/>
      <w:marLeft w:val="0"/>
      <w:marRight w:val="0"/>
      <w:marTop w:val="0"/>
      <w:marBottom w:val="0"/>
      <w:divBdr>
        <w:top w:val="none" w:sz="0" w:space="0" w:color="auto"/>
        <w:left w:val="none" w:sz="0" w:space="0" w:color="auto"/>
        <w:bottom w:val="none" w:sz="0" w:space="0" w:color="auto"/>
        <w:right w:val="none" w:sz="0" w:space="0" w:color="auto"/>
      </w:divBdr>
    </w:div>
    <w:div w:id="1959338076">
      <w:bodyDiv w:val="1"/>
      <w:marLeft w:val="0"/>
      <w:marRight w:val="0"/>
      <w:marTop w:val="0"/>
      <w:marBottom w:val="0"/>
      <w:divBdr>
        <w:top w:val="none" w:sz="0" w:space="0" w:color="auto"/>
        <w:left w:val="none" w:sz="0" w:space="0" w:color="auto"/>
        <w:bottom w:val="none" w:sz="0" w:space="0" w:color="auto"/>
        <w:right w:val="none" w:sz="0" w:space="0" w:color="auto"/>
      </w:divBdr>
    </w:div>
    <w:div w:id="2048217591">
      <w:bodyDiv w:val="1"/>
      <w:marLeft w:val="0"/>
      <w:marRight w:val="0"/>
      <w:marTop w:val="0"/>
      <w:marBottom w:val="0"/>
      <w:divBdr>
        <w:top w:val="none" w:sz="0" w:space="0" w:color="auto"/>
        <w:left w:val="none" w:sz="0" w:space="0" w:color="auto"/>
        <w:bottom w:val="none" w:sz="0" w:space="0" w:color="auto"/>
        <w:right w:val="none" w:sz="0" w:space="0" w:color="auto"/>
      </w:divBdr>
    </w:div>
    <w:div w:id="213379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27D9E-BB8C-4EEF-BAC4-98B59EAD6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5007</Words>
  <Characters>27539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Nombela Rollon</dc:creator>
  <cp:lastModifiedBy>juan</cp:lastModifiedBy>
  <cp:revision>2</cp:revision>
  <cp:lastPrinted>2017-09-15T12:46:00Z</cp:lastPrinted>
  <dcterms:created xsi:type="dcterms:W3CDTF">2017-09-22T15:28:00Z</dcterms:created>
  <dcterms:modified xsi:type="dcterms:W3CDTF">2017-09-22T15:28:00Z</dcterms:modified>
</cp:coreProperties>
</file>