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0" w:rsidRDefault="00451A70">
      <w:pPr>
        <w:pStyle w:val="paragraph"/>
        <w:spacing w:before="0" w:after="0"/>
        <w:jc w:val="center"/>
        <w:rPr>
          <w:rFonts w:ascii="Arial" w:hAnsi="Arial" w:cs="Arial"/>
        </w:rPr>
      </w:pPr>
    </w:p>
    <w:p w:rsidR="00451A70" w:rsidRDefault="006F5B48">
      <w:pPr>
        <w:pStyle w:val="paragraph"/>
        <w:spacing w:before="0" w:after="0"/>
        <w:jc w:val="center"/>
      </w:pPr>
      <w:r>
        <w:rPr>
          <w:rStyle w:val="normaltextrun"/>
          <w:rFonts w:ascii="Arial" w:hAnsi="Arial" w:cs="Arial"/>
          <w:bCs/>
          <w:szCs w:val="32"/>
          <w:u w:val="single"/>
        </w:rPr>
        <w:t>#Inmocionate19</w:t>
      </w:r>
    </w:p>
    <w:p w:rsidR="00451A70" w:rsidRDefault="00451A70">
      <w:pPr>
        <w:pStyle w:val="paragraph"/>
        <w:spacing w:before="0" w:after="0"/>
        <w:jc w:val="center"/>
        <w:rPr>
          <w:rFonts w:ascii="Arial" w:hAnsi="Arial" w:cs="Arial"/>
          <w:sz w:val="28"/>
        </w:rPr>
      </w:pPr>
    </w:p>
    <w:p w:rsidR="00926A4E" w:rsidRPr="00926A4E" w:rsidRDefault="006F5B48" w:rsidP="00926A4E">
      <w:pPr>
        <w:spacing w:after="0"/>
        <w:ind w:right="-142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926A4E">
        <w:rPr>
          <w:rFonts w:ascii="Arial" w:hAnsi="Arial" w:cs="Arial"/>
          <w:b/>
          <w:bCs/>
          <w:sz w:val="28"/>
          <w:szCs w:val="28"/>
        </w:rPr>
        <w:t>La</w:t>
      </w:r>
      <w:r w:rsidR="00926A4E" w:rsidRPr="00926A4E">
        <w:rPr>
          <w:rFonts w:ascii="Arial" w:hAnsi="Arial" w:cs="Arial"/>
          <w:b/>
          <w:bCs/>
          <w:sz w:val="28"/>
          <w:szCs w:val="28"/>
        </w:rPr>
        <w:t xml:space="preserve"> sostenibilidad será el motor del cambio del sector inmobiliario: </w:t>
      </w:r>
    </w:p>
    <w:p w:rsidR="00451A70" w:rsidRPr="00926A4E" w:rsidRDefault="00926A4E" w:rsidP="00926A4E">
      <w:pPr>
        <w:spacing w:after="0"/>
        <w:ind w:right="-142" w:hanging="567"/>
        <w:jc w:val="center"/>
        <w:rPr>
          <w:rFonts w:ascii="Arial" w:hAnsi="Arial" w:cs="Arial"/>
          <w:b/>
          <w:bCs/>
          <w:sz w:val="28"/>
          <w:szCs w:val="28"/>
        </w:rPr>
      </w:pPr>
      <w:r w:rsidRPr="00926A4E">
        <w:rPr>
          <w:rFonts w:ascii="Arial" w:hAnsi="Arial" w:cs="Arial"/>
          <w:b/>
          <w:bCs/>
          <w:sz w:val="28"/>
          <w:szCs w:val="28"/>
        </w:rPr>
        <w:t>opinión compartida por los asistente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926A4E">
        <w:rPr>
          <w:rFonts w:ascii="Arial" w:hAnsi="Arial" w:cs="Arial"/>
          <w:b/>
          <w:bCs/>
          <w:sz w:val="28"/>
          <w:szCs w:val="28"/>
        </w:rPr>
        <w:t xml:space="preserve"> a la </w:t>
      </w:r>
      <w:r w:rsidR="006F5B48" w:rsidRPr="00926A4E">
        <w:rPr>
          <w:rFonts w:ascii="Arial" w:hAnsi="Arial" w:cs="Arial"/>
          <w:b/>
          <w:bCs/>
          <w:sz w:val="28"/>
          <w:szCs w:val="28"/>
        </w:rPr>
        <w:t>X edición de Inmociónate</w:t>
      </w:r>
    </w:p>
    <w:p w:rsidR="00926A4E" w:rsidRPr="00926A4E" w:rsidRDefault="00926A4E" w:rsidP="00926A4E">
      <w:pPr>
        <w:ind w:right="-143" w:hanging="142"/>
        <w:jc w:val="center"/>
        <w:rPr>
          <w:sz w:val="28"/>
          <w:szCs w:val="28"/>
        </w:rPr>
      </w:pPr>
    </w:p>
    <w:p w:rsidR="00451A70" w:rsidRDefault="006F5B48"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inline distT="0" distB="0" distL="0" distR="0">
                <wp:extent cx="5286375" cy="2519680"/>
                <wp:effectExtent l="0" t="0" r="9525" b="762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1A70" w:rsidRDefault="00451A70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555555"/>
                                <w:sz w:val="20"/>
                                <w:szCs w:val="23"/>
                                <w:lang w:eastAsia="es-ES"/>
                              </w:rPr>
                            </w:pPr>
                          </w:p>
                          <w:p w:rsidR="00451A70" w:rsidRPr="00913447" w:rsidRDefault="006F5B48" w:rsidP="00926A4E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ind w:right="231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91344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En su décima edición, Inmociónate ha reunido a más de 900 inmobiliarios en Port Aventura (Tarragona) los días 13 y 14 de junio.</w:t>
                            </w:r>
                          </w:p>
                          <w:p w:rsidR="00451A70" w:rsidRPr="00913447" w:rsidRDefault="00926A4E" w:rsidP="00926A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5"/>
                              </w:tabs>
                              <w:suppressAutoHyphens w:val="0"/>
                              <w:ind w:right="231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su</w:t>
                            </w:r>
                            <w:r w:rsidR="006F5B48"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onencia,</w:t>
                            </w:r>
                            <w:r w:rsidR="006F5B48"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Juan Verde, ex asesor de Barack Obama y subsecretario de comercio de EE.UU., ha asegurado que </w:t>
                            </w:r>
                            <w:r w:rsidR="006F5B48" w:rsidRPr="0091344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“la sostenibilidad es el motor del proceso de innovación y hace más competitivas las empresas”.</w:t>
                            </w:r>
                          </w:p>
                          <w:p w:rsidR="00913447" w:rsidRDefault="00913447" w:rsidP="0091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37% de las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invierten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edificios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verdes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hacen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demanda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mercado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rentabilidad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(17%),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demanda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accionistas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(14%), el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posicionamiento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(12%) o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Responsabilidad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Corporativa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(11%). </w:t>
                            </w:r>
                          </w:p>
                          <w:p w:rsidR="00913447" w:rsidRDefault="00913447" w:rsidP="00913447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3447" w:rsidRPr="00913447" w:rsidRDefault="00913447" w:rsidP="0091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79% de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trabajadores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escogería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estuviera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localizado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edificio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certificación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LED (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certificación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edificio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sostenible</w:t>
                            </w:r>
                            <w:proofErr w:type="spellEnd"/>
                            <w:r w:rsidRPr="009134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13447" w:rsidRPr="00926A4E" w:rsidRDefault="00913447" w:rsidP="00913447">
                            <w:pPr>
                              <w:tabs>
                                <w:tab w:val="left" w:pos="5245"/>
                              </w:tabs>
                              <w:suppressAutoHyphens w:val="0"/>
                              <w:ind w:left="720" w:right="231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16.25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" strokecolor="red" strokeweight=".08811mm">
                <v:textbox>
                  <w:txbxContent>
                    <w:p w:rsidR="00451A70" w:rsidRDefault="00451A70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color w:val="555555"/>
                          <w:sz w:val="20"/>
                          <w:szCs w:val="23"/>
                          <w:lang w:eastAsia="es-ES"/>
                        </w:rPr>
                      </w:pPr>
                    </w:p>
                    <w:p w:rsidR="00451A70" w:rsidRPr="00913447" w:rsidRDefault="006F5B48" w:rsidP="00926A4E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ind w:right="231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91344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En su décima edición, Inmociónate ha reunido a más de 900 inmobiliarios en Port Aventura (Tarragona) los días 13 y 14 de junio.</w:t>
                      </w:r>
                    </w:p>
                    <w:p w:rsidR="00451A70" w:rsidRPr="00913447" w:rsidRDefault="00926A4E" w:rsidP="00926A4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5"/>
                        </w:tabs>
                        <w:suppressAutoHyphens w:val="0"/>
                        <w:ind w:right="231"/>
                        <w:jc w:val="both"/>
                        <w:textAlignment w:val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En su</w:t>
                      </w:r>
                      <w:r w:rsidR="006F5B48"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onencia,</w:t>
                      </w:r>
                      <w:r w:rsidR="006F5B48"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Juan Verde, ex asesor de Barack Obama y subsecretario de comercio de EE.UU., ha asegurado que </w:t>
                      </w:r>
                      <w:r w:rsidR="006F5B48" w:rsidRPr="0091344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“la sostenibilidad es el motor del proceso de innovación y hace más competitivas las empresas”.</w:t>
                      </w:r>
                    </w:p>
                    <w:p w:rsidR="00913447" w:rsidRDefault="00913447" w:rsidP="0091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</w:t>
                      </w:r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37% de las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invierten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edificios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verdes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hacen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demanda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mercado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rentabilidad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(17%),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demanda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accionistas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(14%), el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posicionamiento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marca (12%) o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Responsabilidad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Corporativa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(11%). </w:t>
                      </w:r>
                    </w:p>
                    <w:p w:rsidR="00913447" w:rsidRDefault="00913447" w:rsidP="00913447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3447" w:rsidRPr="00913447" w:rsidRDefault="00913447" w:rsidP="0091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79% de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trabajadores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escogería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estuviera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localizado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edificio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certificación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LED (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certificación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edificio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>sostenible</w:t>
                      </w:r>
                      <w:proofErr w:type="spellEnd"/>
                      <w:r w:rsidRPr="009134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13447" w:rsidRPr="00926A4E" w:rsidRDefault="00913447" w:rsidP="00913447">
                      <w:pPr>
                        <w:tabs>
                          <w:tab w:val="left" w:pos="5245"/>
                        </w:tabs>
                        <w:suppressAutoHyphens w:val="0"/>
                        <w:ind w:left="720" w:right="231"/>
                        <w:jc w:val="both"/>
                        <w:textAlignment w:val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7235" w:rsidRDefault="006F5B48" w:rsidP="0024519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Madrid, </w:t>
      </w:r>
      <w:r w:rsidR="00DE5B7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de junio de 2019.-</w:t>
      </w:r>
      <w:r>
        <w:rPr>
          <w:rFonts w:ascii="Arial" w:hAnsi="Arial" w:cs="Arial"/>
          <w:b/>
          <w:bCs/>
        </w:rPr>
        <w:t xml:space="preserve"> </w:t>
      </w:r>
      <w:r w:rsidR="00245197">
        <w:rPr>
          <w:rFonts w:ascii="Arial" w:hAnsi="Arial" w:cs="Arial"/>
          <w:b/>
          <w:bCs/>
        </w:rPr>
        <w:t>“</w:t>
      </w:r>
      <w:r w:rsidR="00926A4E" w:rsidRPr="00926A4E">
        <w:rPr>
          <w:rFonts w:ascii="Arial" w:hAnsi="Arial" w:cs="Arial"/>
          <w:bCs/>
          <w:sz w:val="20"/>
          <w:szCs w:val="20"/>
        </w:rPr>
        <w:t>La sostenibilidad</w:t>
      </w:r>
      <w:r w:rsidR="00245197" w:rsidRPr="00245197">
        <w:rPr>
          <w:rFonts w:ascii="Arial" w:hAnsi="Arial" w:cs="Arial"/>
          <w:sz w:val="20"/>
          <w:szCs w:val="20"/>
        </w:rPr>
        <w:t xml:space="preserve"> hace más competitivas</w:t>
      </w:r>
      <w:r w:rsidR="00D3239B">
        <w:rPr>
          <w:rFonts w:ascii="Arial" w:hAnsi="Arial" w:cs="Arial"/>
          <w:sz w:val="20"/>
          <w:szCs w:val="20"/>
        </w:rPr>
        <w:t xml:space="preserve"> a</w:t>
      </w:r>
      <w:r w:rsidR="00245197" w:rsidRPr="00245197">
        <w:rPr>
          <w:rFonts w:ascii="Arial" w:hAnsi="Arial" w:cs="Arial"/>
          <w:sz w:val="20"/>
          <w:szCs w:val="20"/>
        </w:rPr>
        <w:t xml:space="preserve"> las empresas</w:t>
      </w:r>
      <w:r w:rsidR="00245197" w:rsidRPr="00245197">
        <w:rPr>
          <w:rFonts w:ascii="Arial" w:hAnsi="Arial" w:cs="Arial"/>
          <w:bCs/>
          <w:sz w:val="20"/>
          <w:szCs w:val="20"/>
        </w:rPr>
        <w:t xml:space="preserve"> </w:t>
      </w:r>
      <w:r w:rsidR="00245197">
        <w:rPr>
          <w:rFonts w:ascii="Arial" w:hAnsi="Arial" w:cs="Arial"/>
          <w:bCs/>
          <w:sz w:val="20"/>
          <w:szCs w:val="20"/>
        </w:rPr>
        <w:t xml:space="preserve">y </w:t>
      </w:r>
      <w:r w:rsidR="00926A4E">
        <w:rPr>
          <w:rFonts w:ascii="Arial" w:hAnsi="Arial" w:cs="Arial"/>
          <w:bCs/>
          <w:sz w:val="20"/>
          <w:szCs w:val="20"/>
        </w:rPr>
        <w:t>será el motor del cambio del sector inmobiliario</w:t>
      </w:r>
      <w:r w:rsidR="00245197">
        <w:rPr>
          <w:rFonts w:ascii="Arial" w:hAnsi="Arial" w:cs="Arial"/>
          <w:bCs/>
          <w:sz w:val="20"/>
          <w:szCs w:val="20"/>
        </w:rPr>
        <w:t xml:space="preserve">”. Esta afirmación de </w:t>
      </w:r>
      <w:r w:rsidR="00245197" w:rsidRPr="00245197">
        <w:rPr>
          <w:rFonts w:ascii="Arial" w:hAnsi="Arial" w:cs="Arial"/>
          <w:b/>
          <w:bCs/>
          <w:sz w:val="20"/>
          <w:szCs w:val="20"/>
        </w:rPr>
        <w:t>Juan Verde,</w:t>
      </w:r>
      <w:r w:rsidR="00245197">
        <w:rPr>
          <w:rFonts w:ascii="Arial" w:hAnsi="Arial" w:cs="Arial"/>
          <w:bCs/>
          <w:sz w:val="20"/>
          <w:szCs w:val="20"/>
        </w:rPr>
        <w:t xml:space="preserve"> </w:t>
      </w:r>
      <w:r w:rsidR="00245197">
        <w:rPr>
          <w:rFonts w:ascii="Arial" w:hAnsi="Arial" w:cs="Arial"/>
          <w:b/>
          <w:sz w:val="20"/>
          <w:szCs w:val="20"/>
        </w:rPr>
        <w:t xml:space="preserve">ex asesor de Barack Obama y subsecretario de comercio de EE.UU., </w:t>
      </w:r>
      <w:r w:rsidR="00245197" w:rsidRPr="00245197">
        <w:rPr>
          <w:rFonts w:ascii="Arial" w:hAnsi="Arial" w:cs="Arial"/>
          <w:sz w:val="20"/>
          <w:szCs w:val="20"/>
        </w:rPr>
        <w:t>ha sido uno</w:t>
      </w:r>
      <w:r w:rsidR="00245197">
        <w:rPr>
          <w:rFonts w:ascii="Arial" w:hAnsi="Arial" w:cs="Arial"/>
          <w:b/>
          <w:sz w:val="20"/>
          <w:szCs w:val="20"/>
        </w:rPr>
        <w:t xml:space="preserve"> </w:t>
      </w:r>
      <w:r w:rsidR="00245197">
        <w:rPr>
          <w:rFonts w:ascii="Arial" w:hAnsi="Arial" w:cs="Arial"/>
          <w:sz w:val="20"/>
          <w:szCs w:val="20"/>
        </w:rPr>
        <w:t>de los ejes principales de Inmociónate 2019</w:t>
      </w:r>
      <w:r w:rsidR="00AE7235">
        <w:rPr>
          <w:rFonts w:ascii="Arial" w:hAnsi="Arial" w:cs="Arial"/>
          <w:sz w:val="20"/>
          <w:szCs w:val="20"/>
        </w:rPr>
        <w:t xml:space="preserve">, el mayor evento </w:t>
      </w:r>
      <w:r w:rsidR="00D3239B">
        <w:rPr>
          <w:rFonts w:ascii="Arial" w:hAnsi="Arial" w:cs="Arial"/>
          <w:sz w:val="20"/>
          <w:szCs w:val="20"/>
        </w:rPr>
        <w:t xml:space="preserve">inmobiliario que se celebra en nuestro país, y cuya X edición ha tenido lugar los pasados 13 y 14 de junio en el Centro de Convenciones de Port Aventura (Tarragona). </w:t>
      </w:r>
    </w:p>
    <w:p w:rsidR="00AE7235" w:rsidRDefault="00AE7235" w:rsidP="0024519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245197" w:rsidRPr="00D3239B" w:rsidRDefault="00D3239B" w:rsidP="00245197">
      <w:pPr>
        <w:shd w:val="clear" w:color="auto" w:fill="FFFFFF"/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En este evento, organizado por UCI (Unión de Crédito Inmobiliario) y SIRA (el club profesional de los Spanish International Realtors), y en el que han participado más de 900 profesionales inmobiliarios, la sostenibilidad se ha mostrado como la </w:t>
      </w:r>
      <w:r w:rsidR="00245197">
        <w:rPr>
          <w:rFonts w:ascii="Arial" w:hAnsi="Arial" w:cs="Arial"/>
          <w:sz w:val="20"/>
          <w:szCs w:val="20"/>
        </w:rPr>
        <w:t>vía para lograr una economía capaz de reducir el impacto medioambiental del parque inmobiliario de nuestro país.</w:t>
      </w:r>
    </w:p>
    <w:p w:rsidR="00245197" w:rsidRDefault="00245197" w:rsidP="00245197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239B" w:rsidRDefault="00D3239B" w:rsidP="00D3239B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dos jornadas, expertos nacionales e internacionales analizaron las nuevas tendencias del sector en cuanto a gestión, nuevas tecnologías, estrategias de marketing o redes sociales y</w:t>
      </w:r>
      <w:r w:rsidR="009134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 papel de los profesionales en la creación de una economía sostenible, que reduzca el impacto del parque inmobiliario sobre el medio ambiente, ha </w:t>
      </w:r>
      <w:proofErr w:type="gramStart"/>
      <w:r>
        <w:rPr>
          <w:rFonts w:ascii="Arial" w:hAnsi="Arial" w:cs="Arial"/>
          <w:sz w:val="20"/>
          <w:szCs w:val="20"/>
        </w:rPr>
        <w:t>sido  uno</w:t>
      </w:r>
      <w:proofErr w:type="gramEnd"/>
      <w:r>
        <w:rPr>
          <w:rFonts w:ascii="Arial" w:hAnsi="Arial" w:cs="Arial"/>
          <w:sz w:val="20"/>
          <w:szCs w:val="20"/>
        </w:rPr>
        <w:t xml:space="preserve"> de los temas más destacados de esta edición. </w:t>
      </w:r>
    </w:p>
    <w:p w:rsidR="00245197" w:rsidRDefault="00245197" w:rsidP="00245197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239B" w:rsidRDefault="00D3239B" w:rsidP="00D3239B">
      <w:pPr>
        <w:pStyle w:val="paragraph"/>
        <w:spacing w:before="0"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La sostenibilidad</w:t>
      </w:r>
      <w:r w:rsidR="00913447">
        <w:rPr>
          <w:rFonts w:ascii="Arial" w:eastAsia="Calibri" w:hAnsi="Arial" w:cs="Arial"/>
          <w:b/>
          <w:sz w:val="20"/>
          <w:szCs w:val="20"/>
          <w:lang w:eastAsia="en-US"/>
        </w:rPr>
        <w:t>, en cifras,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como motor del cambio del sector inmobiliario</w:t>
      </w:r>
      <w:r w:rsidR="00913447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245197" w:rsidRDefault="00245197" w:rsidP="00245197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5197" w:rsidRPr="00245197" w:rsidRDefault="00D3239B" w:rsidP="00245197">
      <w:pPr>
        <w:shd w:val="clear" w:color="auto" w:fill="FFFFFF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3239B">
        <w:rPr>
          <w:rFonts w:ascii="Arial" w:hAnsi="Arial" w:cs="Arial"/>
          <w:sz w:val="20"/>
          <w:szCs w:val="20"/>
        </w:rPr>
        <w:t xml:space="preserve">Juan </w:t>
      </w:r>
      <w:r w:rsidR="00245197" w:rsidRPr="00D3239B">
        <w:rPr>
          <w:rFonts w:ascii="Arial" w:hAnsi="Arial" w:cs="Arial"/>
          <w:sz w:val="20"/>
          <w:szCs w:val="20"/>
        </w:rPr>
        <w:t>Verde</w:t>
      </w:r>
      <w:r w:rsidR="00245197">
        <w:rPr>
          <w:rFonts w:ascii="Arial" w:hAnsi="Arial" w:cs="Arial"/>
          <w:sz w:val="20"/>
          <w:szCs w:val="20"/>
        </w:rPr>
        <w:t xml:space="preserve"> ha destacado que </w:t>
      </w:r>
      <w:r w:rsidR="00245197">
        <w:rPr>
          <w:rFonts w:ascii="Arial" w:hAnsi="Arial" w:cs="Arial"/>
          <w:i/>
          <w:sz w:val="20"/>
          <w:szCs w:val="20"/>
        </w:rPr>
        <w:t xml:space="preserve">“en 2030 se invertirán más de 200 trillones (billones en Europa) de euros en la creación de edificios sostenibles” o que “el país que lidere la carrera de la innovación en materia de sostenibilidad se convertirá en la economía más potente del mundo”. </w:t>
      </w:r>
    </w:p>
    <w:p w:rsidR="00451A70" w:rsidRDefault="00451A7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El ex asesor de Obama también ha destacado que el cambio climático es una realidad contrastada por la comunidad científica que en 2030 nos obligará a vivir en una economía de bajas emisiones. Por ello, gestionar la transición a una economía más ecológica es esencial para el crecimiento económico de nuestro país. </w:t>
      </w:r>
    </w:p>
    <w:p w:rsidR="00451A70" w:rsidRDefault="00451A7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Juan Verde </w:t>
      </w:r>
      <w:r w:rsidR="00913447">
        <w:rPr>
          <w:rFonts w:ascii="Arial" w:hAnsi="Arial" w:cs="Arial"/>
          <w:sz w:val="20"/>
          <w:szCs w:val="20"/>
        </w:rPr>
        <w:t>puso también</w:t>
      </w:r>
      <w:r>
        <w:rPr>
          <w:rFonts w:ascii="Arial" w:hAnsi="Arial" w:cs="Arial"/>
          <w:sz w:val="20"/>
          <w:szCs w:val="20"/>
        </w:rPr>
        <w:t xml:space="preserve"> de manifiesto que el 37% de las empresas que invierten en edificios verdes lo hacen por la demanda del mercado, por la rentabilidad (17%), la demanda de sus accionistas (14%), el posicionamiento de marca (12%) o por Responsabilidad Corporativa (11%). Y ha asegurado que un 79% de trabajadores escogerían un trabajo que estuviera localizado en un edificio con certificación LED (certificación de edificio sostenible) o que el 84% de personas preferiría trabajar en una compañía con una misión concreta sobre sostenibilidad. </w:t>
      </w:r>
    </w:p>
    <w:p w:rsidR="00451A70" w:rsidRDefault="00451A7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451A70" w:rsidRPr="00812102" w:rsidRDefault="006F5B48">
      <w:pPr>
        <w:shd w:val="clear" w:color="auto" w:fill="FFFFFF"/>
        <w:spacing w:after="0"/>
        <w:jc w:val="both"/>
        <w:rPr>
          <w:b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El analista político y económico ha insistido en el papel que </w:t>
      </w:r>
      <w:r w:rsidRPr="00812102">
        <w:rPr>
          <w:rFonts w:ascii="Arial" w:hAnsi="Arial" w:cs="Arial"/>
          <w:b/>
          <w:sz w:val="20"/>
          <w:szCs w:val="20"/>
          <w:shd w:val="clear" w:color="auto" w:fill="FFFFFF"/>
        </w:rPr>
        <w:t xml:space="preserve">los profesionales inmobiliarios tienen en la reducción del impacto medioambiental, trasladando a sus potenciales clientes la necesidad de </w:t>
      </w:r>
      <w:r w:rsidRPr="00812102">
        <w:rPr>
          <w:rFonts w:ascii="Arial" w:hAnsi="Arial" w:cs="Arial"/>
          <w:b/>
          <w:sz w:val="20"/>
          <w:szCs w:val="20"/>
        </w:rPr>
        <w:t xml:space="preserve">mejorar la certificación energética de las viviendas y la utilización de materiales de construcción sostenibles. </w:t>
      </w:r>
    </w:p>
    <w:p w:rsidR="00451A70" w:rsidRDefault="00451A70">
      <w:pPr>
        <w:pStyle w:val="paragraph"/>
        <w:spacing w:before="0"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633B3" w:rsidRPr="002633B3" w:rsidRDefault="002633B3">
      <w:pPr>
        <w:pStyle w:val="paragraph"/>
        <w:spacing w:before="0"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42D9C">
        <w:rPr>
          <w:rFonts w:ascii="Arial" w:eastAsia="Calibri" w:hAnsi="Arial" w:cs="Arial"/>
          <w:i/>
          <w:sz w:val="20"/>
          <w:szCs w:val="20"/>
          <w:lang w:eastAsia="en-US"/>
        </w:rPr>
        <w:t>“</w:t>
      </w:r>
      <w:r w:rsidR="00E42D9C">
        <w:rPr>
          <w:rFonts w:ascii="Arial" w:eastAsia="Calibri" w:hAnsi="Arial" w:cs="Arial"/>
          <w:i/>
          <w:sz w:val="20"/>
          <w:szCs w:val="20"/>
          <w:lang w:eastAsia="en-US"/>
        </w:rPr>
        <w:t>Se trata de una tendencia irreversible</w:t>
      </w:r>
      <w:r w:rsidR="00E42D9C">
        <w:rPr>
          <w:rFonts w:ascii="Arial" w:eastAsia="Calibri" w:hAnsi="Arial" w:cs="Arial"/>
          <w:sz w:val="20"/>
          <w:szCs w:val="20"/>
          <w:lang w:eastAsia="en-US"/>
        </w:rPr>
        <w:t xml:space="preserve"> y de una demanda popular</w:t>
      </w:r>
      <w:r w:rsidRPr="002633B3">
        <w:rPr>
          <w:rFonts w:ascii="Arial" w:eastAsia="Calibri" w:hAnsi="Arial" w:cs="Arial"/>
          <w:sz w:val="20"/>
          <w:szCs w:val="20"/>
          <w:lang w:eastAsia="en-US"/>
        </w:rPr>
        <w:t xml:space="preserve"> concluyó, </w:t>
      </w:r>
      <w:r w:rsidR="00E42D9C">
        <w:rPr>
          <w:rFonts w:ascii="Arial" w:eastAsia="Calibri" w:hAnsi="Arial" w:cs="Arial"/>
          <w:sz w:val="20"/>
          <w:szCs w:val="20"/>
          <w:lang w:eastAsia="en-US"/>
        </w:rPr>
        <w:t>por lo que como suele ironizar el ex presidente Obama, las empresas deberían tener como objetivo ganar más dinero, durante más tiempo, a ganar más dinero, durante menos tiempo”.</w:t>
      </w:r>
    </w:p>
    <w:p w:rsidR="002633B3" w:rsidRDefault="002633B3">
      <w:pPr>
        <w:pStyle w:val="paragraph"/>
        <w:spacing w:before="0" w:after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Ponentes Internacionales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la décima edición de 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Inmociónate  han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tenido  un papel muy destacado reputados</w:t>
      </w:r>
      <w:r w:rsidR="0081210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ponentes internacionales. Durante la primera jornada, Crystal Washington, especialista en tecnología y estrategia aplicada al sector inmobiliario, ha explicado a los asistentes cómo utilizar las redes sociales para desarrollar su 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negocio  y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la productividad, mientras que Brad Inman, </w:t>
      </w:r>
      <w:r>
        <w:rPr>
          <w:rFonts w:ascii="Arial" w:eastAsia="Arial" w:hAnsi="Arial" w:cs="Arial"/>
          <w:sz w:val="19"/>
          <w:szCs w:val="19"/>
        </w:rPr>
        <w:t>fundador del canal l de noticias para agentes inmobiliarios y brokers, Inman News, ha puesto en valor el uso inteligente de la tecnología para el futuro de la profesión inmobiliaria.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Arial" w:hAnsi="Arial" w:cs="Arial"/>
          <w:sz w:val="19"/>
          <w:szCs w:val="19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Otras figuras internacionales como Michael Burkhardt, Jay Thompson, Debra Trappen o Benjamin Cronin también participaron durante ambas jornadas en las sesiones generales con el objetivo de trasladar a los más de 900 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asistentes  cómo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crear una marca atractiva y el papel del profesional centrado en el cliente y no en la propiedad objeto de la transacción. 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Arial" w:hAnsi="Arial" w:cs="Arial"/>
          <w:sz w:val="19"/>
          <w:szCs w:val="19"/>
        </w:rPr>
      </w:pP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sz w:val="20"/>
          <w:szCs w:val="23"/>
          <w:lang w:eastAsia="es-ES"/>
        </w:rPr>
      </w:pPr>
      <w:r>
        <w:rPr>
          <w:rFonts w:ascii="Arial" w:eastAsia="Times New Roman" w:hAnsi="Arial" w:cs="Arial"/>
          <w:b/>
          <w:i/>
          <w:sz w:val="20"/>
          <w:szCs w:val="23"/>
          <w:lang w:eastAsia="es-ES"/>
        </w:rPr>
        <w:t>Las acciones más solidarias y las mejores estrategias de marketing inmobiliario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sz w:val="20"/>
          <w:szCs w:val="23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Durante la segunda jornada, se han reconocido las mejores acciones de responsabilidad social a nivel local que llevan a cabo los profesionales inmobiliarios de nuestro país. Los asistentes han podido votar a la mejor acción de entre los cinco finalistas. Así, la agencia Promocat Indus, de Molins de Rei (Barcelona), ha resultado ganadora por su campaña “Ayúdanos a ayudar”.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Celedonio Rosillo, representante del proyecto, recibió un cheque de tres mil euros, que se destinarán a la Fundación GUEOPIC para el desarrollo y distribución de una aplicación que facilitará la comunicación de niños con hipoacusia, trastorno del espectro autista y otros tipos de discapacidad.</w:t>
      </w: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3"/>
          <w:lang w:eastAsia="es-ES"/>
        </w:rPr>
      </w:pPr>
      <w:r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</w:p>
    <w:p w:rsidR="00451A70" w:rsidRDefault="006F5B48">
      <w:pPr>
        <w:shd w:val="clear" w:color="auto" w:fill="FFFFFF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es-ES"/>
        </w:rPr>
        <w:t>Para el director general de UCI, Roberto Colomer: “</w:t>
      </w:r>
      <w:r w:rsidR="00812102">
        <w:rPr>
          <w:rFonts w:ascii="Arial" w:eastAsia="Times New Roman" w:hAnsi="Arial" w:cs="Arial"/>
          <w:i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er solidario es una manera de ser, de actuar y de pensar, pero que sobre todo se debe de integrar en nuestro día a día. Estamos en un mundo en el cual cada uno debemos 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es-ES"/>
        </w:rPr>
        <w:t>contribuir  para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mejorar la sostenibilidad y la eficiencia energética del planeta</w:t>
      </w:r>
      <w:r>
        <w:rPr>
          <w:rFonts w:ascii="Arial" w:eastAsia="Times New Roman" w:hAnsi="Arial" w:cs="Arial"/>
          <w:sz w:val="20"/>
          <w:szCs w:val="20"/>
          <w:lang w:eastAsia="es-ES"/>
        </w:rPr>
        <w:t>”.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3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3"/>
          <w:lang w:eastAsia="es-ES"/>
        </w:rPr>
      </w:pPr>
      <w:r>
        <w:rPr>
          <w:rFonts w:ascii="Arial" w:eastAsia="Times New Roman" w:hAnsi="Arial" w:cs="Arial"/>
          <w:sz w:val="20"/>
          <w:szCs w:val="23"/>
          <w:lang w:eastAsia="es-ES"/>
        </w:rPr>
        <w:t>Para finalizar la jornada, tuvo lugar la entrega de galardones de la VII Edición de los Premios de Marketing Inmobiliario, distinción que reconoce las mejores acciones de marketing llevadas a cabo en 2018.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3"/>
          <w:lang w:eastAsia="es-ES"/>
        </w:rPr>
      </w:pPr>
    </w:p>
    <w:p w:rsidR="00451A70" w:rsidRDefault="006F5B48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Tras conocer cinco proyectos finalistas, el público del evento pudo valorar la acción más destacada, resultando ganadora Cristina 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Reparaz,  de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la Inmobiliaria Monpas de San Sebastián (Donostia) cuya estrategia tenía como objetivo posicionarse como expertos del home staging y captar viviendas en exclusiva.</w:t>
      </w:r>
    </w:p>
    <w:p w:rsidR="00451A70" w:rsidRDefault="00451A7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1A70" w:rsidRDefault="006F5B48">
      <w:pPr>
        <w:pStyle w:val="paragraph"/>
        <w:spacing w:before="0" w:after="0"/>
        <w:jc w:val="both"/>
      </w:pPr>
      <w:r>
        <w:rPr>
          <w:rFonts w:ascii="Arial" w:hAnsi="Arial" w:cs="Arial"/>
          <w:sz w:val="20"/>
          <w:szCs w:val="20"/>
        </w:rPr>
        <w:t xml:space="preserve">Tras diez exitosas ediciones, los organizadores del evento, UCI y SIRA, junto a sus patrocinadores oficiales, Idealista, Fotocasa, Pisos.com, Vitrinemedia, Lexus y CRS,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han reunido a más de 900 profesionales de 16 nacionalidades, entre las que destacan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EE.UU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, Francia, Argentina, Italia, Portugal, México y Perú, entre otras.</w:t>
      </w:r>
    </w:p>
    <w:p w:rsidR="00451A70" w:rsidRDefault="00451A70">
      <w:pPr>
        <w:pStyle w:val="paragraph"/>
        <w:spacing w:before="0"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13447" w:rsidRDefault="006F5B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Inmociónate 2019 también ha contado con la colaboración de las principales redes inmobiliarias del país como Century 21, Comprarcasa, Coldwell Banker, Gilmar, Keller Williams, Look&amp;</w:t>
      </w:r>
      <w:proofErr w:type="gramStart"/>
      <w:r>
        <w:rPr>
          <w:rFonts w:ascii="Arial" w:hAnsi="Arial" w:cs="Arial"/>
          <w:sz w:val="20"/>
          <w:szCs w:val="20"/>
        </w:rPr>
        <w:t>Find  RE</w:t>
      </w:r>
      <w:proofErr w:type="gramEnd"/>
      <w:r>
        <w:rPr>
          <w:rFonts w:ascii="Arial" w:hAnsi="Arial" w:cs="Arial"/>
          <w:sz w:val="20"/>
          <w:szCs w:val="20"/>
        </w:rPr>
        <w:t>/MAX, la empresa de tasación Gloval y el Consejo General COAPI de España como Patrocinador Institucional.</w:t>
      </w:r>
    </w:p>
    <w:p w:rsidR="00451A70" w:rsidRPr="00913447" w:rsidRDefault="006F5B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51A70" w:rsidRDefault="006F5B48">
      <w:pPr>
        <w:pStyle w:val="paragraph"/>
        <w:shd w:val="clear" w:color="auto" w:fill="FFFFFF"/>
        <w:spacing w:before="0" w:after="0" w:line="276" w:lineRule="auto"/>
        <w:jc w:val="both"/>
      </w:pPr>
      <w:r>
        <w:rPr>
          <w:rStyle w:val="normaltextrun"/>
          <w:rFonts w:ascii="Arial" w:hAnsi="Arial" w:cs="Arial"/>
          <w:b/>
          <w:bCs/>
          <w:sz w:val="16"/>
          <w:szCs w:val="16"/>
          <w:u w:val="single"/>
          <w:lang w:val="fr-FR"/>
        </w:rPr>
        <w:t>Sobre UCI 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451A70" w:rsidRDefault="006F5B48">
      <w:pPr>
        <w:pStyle w:val="paragraph"/>
        <w:shd w:val="clear" w:color="auto" w:fill="FFFFFF"/>
        <w:spacing w:before="0" w:after="0" w:line="276" w:lineRule="auto"/>
        <w:jc w:val="both"/>
      </w:pPr>
      <w:r>
        <w:rPr>
          <w:rStyle w:val="normaltextrun"/>
          <w:rFonts w:ascii="Arial" w:hAnsi="Arial" w:cs="Arial"/>
          <w:sz w:val="16"/>
          <w:szCs w:val="16"/>
          <w:lang w:val="fr-FR"/>
        </w:rPr>
        <w:t>UCI es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una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Entidad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Financiera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con 30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años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trayectoria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,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presente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en España, Portugal,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Grecia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y Brasil (de la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mano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del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Grupo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Provincia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) que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cuenta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con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más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 700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empleados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,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más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 10.000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millones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 saldo vivo y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más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 250.000 clientes.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Desde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2015, a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través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del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programa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Prado, UCI ha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emitido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más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 2000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millones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 euros en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bonos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titulizaciones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de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máxima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 </w:t>
      </w:r>
      <w:r>
        <w:rPr>
          <w:rStyle w:val="spellingerror"/>
          <w:rFonts w:ascii="Arial" w:hAnsi="Arial" w:cs="Arial"/>
          <w:sz w:val="16"/>
          <w:szCs w:val="16"/>
          <w:lang w:val="fr-FR"/>
        </w:rPr>
        <w:t>calidad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.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:rsidR="00451A70" w:rsidRDefault="00451A70">
      <w:pPr>
        <w:pStyle w:val="paragraph"/>
        <w:shd w:val="clear" w:color="auto" w:fill="FFFFFF"/>
        <w:spacing w:before="0" w:after="0" w:line="276" w:lineRule="auto"/>
        <w:jc w:val="both"/>
        <w:rPr>
          <w:rFonts w:ascii="Arial" w:hAnsi="Arial" w:cs="Arial"/>
        </w:rPr>
      </w:pPr>
    </w:p>
    <w:p w:rsidR="00451A70" w:rsidRDefault="006F5B48">
      <w:pPr>
        <w:pStyle w:val="paragraph"/>
        <w:shd w:val="clear" w:color="auto" w:fill="FFFFFF"/>
        <w:spacing w:before="0" w:after="0" w:line="276" w:lineRule="auto"/>
        <w:jc w:val="both"/>
      </w:pPr>
      <w:r>
        <w:rPr>
          <w:rStyle w:val="normaltextrun"/>
          <w:rFonts w:ascii="Arial" w:hAnsi="Arial" w:cs="Arial"/>
          <w:b/>
          <w:bCs/>
          <w:sz w:val="16"/>
          <w:szCs w:val="16"/>
          <w:u w:val="single"/>
          <w:lang w:val="fr-FR"/>
        </w:rPr>
        <w:t>Sobre SIRA</w:t>
      </w:r>
    </w:p>
    <w:p w:rsidR="00451A70" w:rsidRDefault="006F5B48" w:rsidP="006E74DA">
      <w:pPr>
        <w:pStyle w:val="NormalWeb"/>
        <w:shd w:val="clear" w:color="auto" w:fill="FFFFFF"/>
        <w:spacing w:before="0" w:after="39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spellingerror"/>
          <w:rFonts w:ascii="Arial" w:hAnsi="Arial" w:cs="Arial"/>
          <w:sz w:val="16"/>
          <w:szCs w:val="16"/>
          <w:lang w:val="fr-FR"/>
        </w:rPr>
        <w:t>SIRA es el club profesional de los Spanish International Realtors, miembros españoles de la NAR, al que pertenecen los inmobiliarios comprometidos con la formación y la ética profesional.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  <w:lang w:val="fr-FR"/>
        </w:rPr>
        <w:t>SIRA promueve el desarrollo profesional, la investigación y el intercambio de información entre sus miembros y hacia el público y el Gobierno con el objetivo de preservar la libre empresa y el derecho a la propiedad inmobiliaria</w:t>
      </w:r>
      <w:r w:rsidR="006E74DA">
        <w:rPr>
          <w:rStyle w:val="normaltextrun"/>
          <w:rFonts w:ascii="Arial" w:hAnsi="Arial" w:cs="Arial"/>
          <w:sz w:val="16"/>
          <w:szCs w:val="16"/>
          <w:lang w:val="fr-FR"/>
        </w:rPr>
        <w:t>.</w:t>
      </w:r>
      <w:bookmarkStart w:id="0" w:name="_GoBack"/>
      <w:bookmarkEnd w:id="0"/>
    </w:p>
    <w:p w:rsidR="00451A70" w:rsidRDefault="00451A70">
      <w:pPr>
        <w:jc w:val="both"/>
        <w:rPr>
          <w:rFonts w:ascii="Arial" w:eastAsia="Times New Roman" w:hAnsi="Arial" w:cs="Arial"/>
          <w:sz w:val="20"/>
          <w:szCs w:val="23"/>
          <w:lang w:eastAsia="es-ES"/>
        </w:rPr>
      </w:pPr>
    </w:p>
    <w:sectPr w:rsidR="00451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04" w:rsidRDefault="00E35504">
      <w:pPr>
        <w:spacing w:after="0" w:line="240" w:lineRule="auto"/>
      </w:pPr>
      <w:r>
        <w:separator/>
      </w:r>
    </w:p>
  </w:endnote>
  <w:endnote w:type="continuationSeparator" w:id="0">
    <w:p w:rsidR="00E35504" w:rsidRDefault="00E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5"/>
      <w:gridCol w:w="2835"/>
      <w:gridCol w:w="2835"/>
    </w:tblGrid>
    <w:tr w:rsidR="00F66B4E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6B4E" w:rsidRDefault="00E35504">
          <w:pPr>
            <w:pStyle w:val="Encabezado"/>
            <w:ind w:left="-115"/>
          </w:pPr>
        </w:p>
      </w:tc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6B4E" w:rsidRDefault="00E35504">
          <w:pPr>
            <w:pStyle w:val="Encabezado"/>
            <w:jc w:val="center"/>
          </w:pPr>
        </w:p>
      </w:tc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6B4E" w:rsidRDefault="00E35504">
          <w:pPr>
            <w:pStyle w:val="Encabezado"/>
            <w:ind w:right="-115"/>
            <w:jc w:val="right"/>
          </w:pPr>
        </w:p>
      </w:tc>
    </w:tr>
  </w:tbl>
  <w:p w:rsidR="00F66B4E" w:rsidRDefault="00E35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04" w:rsidRDefault="00E35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5504" w:rsidRDefault="00E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E" w:rsidRDefault="006F5B48">
    <w:pPr>
      <w:pStyle w:val="Encabezado"/>
    </w:pPr>
    <w:r>
      <w:rPr>
        <w:noProof/>
        <w:lang w:eastAsia="es-ES"/>
      </w:rPr>
      <w:drawing>
        <wp:inline distT="0" distB="0" distL="0" distR="0">
          <wp:extent cx="596902" cy="596902"/>
          <wp:effectExtent l="0" t="0" r="0" b="0"/>
          <wp:docPr id="1" name="Imagen 2" descr="logo_inmo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902" cy="5969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193804" cy="520695"/>
          <wp:effectExtent l="0" t="0" r="0" b="0"/>
          <wp:docPr id="2" name="Imagen 3" descr="SI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4" cy="5206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inline distT="0" distB="0" distL="0" distR="0">
          <wp:extent cx="1117597" cy="558798"/>
          <wp:effectExtent l="0" t="0" r="0" b="0"/>
          <wp:docPr id="3" name="Imagen 4" descr="U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597" cy="558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610B"/>
    <w:multiLevelType w:val="multilevel"/>
    <w:tmpl w:val="56C430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0"/>
    <w:rsid w:val="000344BB"/>
    <w:rsid w:val="00230495"/>
    <w:rsid w:val="00245197"/>
    <w:rsid w:val="002633B3"/>
    <w:rsid w:val="00417887"/>
    <w:rsid w:val="00451A70"/>
    <w:rsid w:val="006C3EB3"/>
    <w:rsid w:val="006E74DA"/>
    <w:rsid w:val="006F5B48"/>
    <w:rsid w:val="00812102"/>
    <w:rsid w:val="00913447"/>
    <w:rsid w:val="00926A4E"/>
    <w:rsid w:val="00AE7235"/>
    <w:rsid w:val="00D3239B"/>
    <w:rsid w:val="00DE5B77"/>
    <w:rsid w:val="00E35504"/>
    <w:rsid w:val="00E42D9C"/>
    <w:rsid w:val="00F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5328"/>
  <w15:docId w15:val="{BF59FCBB-3FF7-44E1-8C0E-CAAC5AE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en-US" w:eastAsia="es-ES"/>
    </w:rPr>
  </w:style>
  <w:style w:type="paragraph" w:customStyle="1" w:styleId="row">
    <w:name w:val="row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10">
    <w:name w:val="Título1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tuloCar">
    <w:name w:val="Título C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Pr>
      <w:color w:val="0000FF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eastAsia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Textoennegrita">
    <w:name w:val="Strong"/>
    <w:rPr>
      <w:b/>
      <w:bCs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Lopez Garcia</dc:creator>
  <cp:lastModifiedBy>Tikismikis</cp:lastModifiedBy>
  <cp:revision>9</cp:revision>
  <dcterms:created xsi:type="dcterms:W3CDTF">2019-06-17T11:56:00Z</dcterms:created>
  <dcterms:modified xsi:type="dcterms:W3CDTF">2019-06-20T10:49:00Z</dcterms:modified>
</cp:coreProperties>
</file>