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Ex1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A6" w:rsidRPr="00BB2DA1" w:rsidRDefault="00BB2DA1" w:rsidP="00984BA6">
      <w:pPr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w:t xml:space="preserve"> </w:t>
      </w:r>
      <w:r>
        <w:rPr>
          <w:noProof/>
        </w:rPr>
        <w:drawing>
          <wp:inline distT="0" distB="0" distL="0" distR="0" wp14:anchorId="1001904F" wp14:editId="2709CF3D">
            <wp:extent cx="2094038" cy="704850"/>
            <wp:effectExtent l="0" t="0" r="1905" b="0"/>
            <wp:docPr id="4" name="Imagen 4" descr="C:\Users\ALBERTO\AppData\Local\Microsoft\Windows\INetCache\Content.Word\LogosREF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AppData\Local\Microsoft\Windows\INetCache\Content.Word\LogosREFO-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26" cy="7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601">
        <w:rPr>
          <w:noProof/>
          <w:sz w:val="20"/>
        </w:rPr>
        <w:tab/>
      </w:r>
      <w:r w:rsidR="003C4601">
        <w:rPr>
          <w:noProof/>
          <w:sz w:val="20"/>
        </w:rPr>
        <w:tab/>
      </w:r>
      <w:r w:rsidR="003C4601">
        <w:rPr>
          <w:noProof/>
          <w:sz w:val="20"/>
        </w:rPr>
        <w:tab/>
      </w:r>
      <w:r w:rsidR="003C4601">
        <w:rPr>
          <w:noProof/>
          <w:sz w:val="20"/>
        </w:rPr>
        <w:tab/>
      </w:r>
      <w:hyperlink r:id="rId8" w:history="1">
        <w:r w:rsidR="003C4601" w:rsidRPr="00E66A5B">
          <w:rPr>
            <w:rStyle w:val="Hipervnculo"/>
            <w:rFonts w:ascii="Calibri" w:hAnsi="Calibri" w:cs="Calibri"/>
            <w:sz w:val="23"/>
            <w:szCs w:val="23"/>
          </w:rPr>
          <w:t>http://refor.economistas.es/</w:t>
        </w:r>
      </w:hyperlink>
    </w:p>
    <w:p w:rsidR="00984BA6" w:rsidRDefault="00984BA6" w:rsidP="00984BA6">
      <w:pPr>
        <w:rPr>
          <w:noProof/>
        </w:rPr>
      </w:pPr>
    </w:p>
    <w:p w:rsidR="00984BA6" w:rsidRDefault="00984BA6" w:rsidP="00984BA6">
      <w:pPr>
        <w:rPr>
          <w:noProof/>
        </w:rPr>
      </w:pPr>
    </w:p>
    <w:p w:rsidR="00BB2DA1" w:rsidRDefault="00BB2DA1" w:rsidP="00BB2DA1">
      <w:pPr>
        <w:jc w:val="center"/>
        <w:rPr>
          <w:b/>
          <w:noProof/>
          <w:sz w:val="40"/>
          <w:szCs w:val="40"/>
        </w:rPr>
      </w:pPr>
      <w:r w:rsidRPr="00BB2DA1">
        <w:rPr>
          <w:b/>
          <w:noProof/>
          <w:sz w:val="40"/>
          <w:szCs w:val="40"/>
        </w:rPr>
        <w:t>EVOLUCIÓN ESTADÍSTICA DE LEXNET Y SU DISTRIBUCIÓN POR COMUNIDADES AUTÓNOMAS</w:t>
      </w:r>
    </w:p>
    <w:p w:rsidR="00BB2DA1" w:rsidRPr="00BB2DA1" w:rsidRDefault="00BB2DA1" w:rsidP="00BB2DA1">
      <w:pPr>
        <w:rPr>
          <w:b/>
          <w:noProof/>
          <w:sz w:val="40"/>
          <w:szCs w:val="40"/>
        </w:rPr>
      </w:pPr>
    </w:p>
    <w:p w:rsidR="00984BA6" w:rsidRDefault="00584101" w:rsidP="0058410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5295BB" wp14:editId="26DE27D5">
            <wp:extent cx="5505450" cy="34890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045" t="25117" r="29093" b="31420"/>
                    <a:stretch/>
                  </pic:blipFill>
                  <pic:spPr bwMode="auto">
                    <a:xfrm>
                      <a:off x="0" y="0"/>
                      <a:ext cx="5513743" cy="349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BA6" w:rsidRDefault="00BB2DA1" w:rsidP="00984BA6">
      <w:pPr>
        <w:rPr>
          <w:noProof/>
        </w:rPr>
      </w:pPr>
      <w:r>
        <w:rPr>
          <w:noProof/>
        </w:rPr>
        <w:t>Mapa del Ministerio de Justicia: Lexnet.</w:t>
      </w:r>
    </w:p>
    <w:p w:rsidR="00984BA6" w:rsidRDefault="00984BA6" w:rsidP="00984BA6">
      <w:pPr>
        <w:jc w:val="both"/>
      </w:pPr>
      <w:r>
        <w:t xml:space="preserve">Los datos que se muestran tanto en las gráficas como en las tablas corresponden al territorio del Mapa de Comunicaciones Electrónicas de LexNET. Incluyen todas las comunidades autónomas a excepción de Cantabria, País Vasco, Comunidad Foral de Navarra y Aragón. </w:t>
      </w:r>
    </w:p>
    <w:p w:rsidR="00984BA6" w:rsidRPr="00CF4F9E" w:rsidRDefault="00984BA6" w:rsidP="00984BA6">
      <w:pPr>
        <w:jc w:val="both"/>
      </w:pPr>
      <w:r>
        <w:t xml:space="preserve">En el caso de Cataluña, la presentación electrónica de Escritos se realizará a través de Justicia.cat, mientras que la recepción electrónica de comunicaciones se realizará a través de LexNET. </w:t>
      </w:r>
    </w:p>
    <w:p w:rsidR="00CF4F9E" w:rsidRDefault="00CF4F9E" w:rsidP="00326FEC"/>
    <w:p w:rsidR="00984BA6" w:rsidRDefault="00984BA6" w:rsidP="00CF4F9E">
      <w:pPr>
        <w:sectPr w:rsidR="00984BA6" w:rsidSect="003C4601">
          <w:headerReference w:type="default" r:id="rId10"/>
          <w:pgSz w:w="11906" w:h="16838"/>
          <w:pgMar w:top="709" w:right="1274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223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630"/>
        <w:gridCol w:w="772"/>
        <w:gridCol w:w="852"/>
        <w:gridCol w:w="852"/>
        <w:gridCol w:w="852"/>
        <w:gridCol w:w="852"/>
        <w:gridCol w:w="852"/>
        <w:gridCol w:w="852"/>
        <w:gridCol w:w="852"/>
        <w:gridCol w:w="852"/>
        <w:gridCol w:w="941"/>
        <w:gridCol w:w="941"/>
        <w:gridCol w:w="941"/>
        <w:gridCol w:w="1532"/>
      </w:tblGrid>
      <w:tr w:rsidR="000C60F1" w:rsidRPr="002E19CC" w:rsidTr="00FC0164">
        <w:trPr>
          <w:trHeight w:val="375"/>
        </w:trPr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es-ES"/>
              </w:rPr>
              <w:lastRenderedPageBreak/>
              <w:t>I. Estadísticas de uso anual por CCAA (HISTÓRICO)</w:t>
            </w:r>
          </w:p>
        </w:tc>
      </w:tr>
      <w:tr w:rsidR="000C60F1" w:rsidRPr="002E19CC" w:rsidTr="00FC0164">
        <w:trPr>
          <w:trHeight w:val="25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lang w:eastAsia="es-ES"/>
              </w:rPr>
              <w:t xml:space="preserve">Desglose de las notificaciones practicadas por año </w:t>
            </w:r>
            <w:proofErr w:type="gramStart"/>
            <w:r w:rsidRPr="002E19CC">
              <w:rPr>
                <w:rFonts w:ascii="Arial" w:eastAsia="Times New Roman" w:hAnsi="Arial" w:cs="Arial"/>
                <w:sz w:val="16"/>
                <w:lang w:eastAsia="es-ES"/>
              </w:rPr>
              <w:t>y  CCAA</w:t>
            </w:r>
            <w:proofErr w:type="gramEnd"/>
            <w:r w:rsidRPr="002E19CC">
              <w:rPr>
                <w:rFonts w:ascii="Arial" w:eastAsia="Times New Roman" w:hAnsi="Arial" w:cs="Arial"/>
                <w:sz w:val="16"/>
                <w:lang w:eastAsia="es-ES"/>
              </w:rPr>
              <w:t xml:space="preserve"> (u organismo)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0C60F1" w:rsidRPr="00CD276A" w:rsidTr="00FC0164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s-ES"/>
              </w:rPr>
              <w:t>Notificaciones practicadas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</w:pPr>
            <w:proofErr w:type="gramStart"/>
            <w:r w:rsidRPr="00CD2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  <w:t>Total</w:t>
            </w:r>
            <w:proofErr w:type="gramEnd"/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  <w:t xml:space="preserve"> de notificaciones practicadas</w:t>
            </w:r>
          </w:p>
        </w:tc>
      </w:tr>
      <w:tr w:rsidR="000C60F1" w:rsidRPr="00CD276A" w:rsidTr="00FC0164">
        <w:trPr>
          <w:trHeight w:val="4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Comunidades / Organismos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es-ES"/>
              </w:rPr>
              <w:t>2018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</w:pP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Andalucía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107.179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987.841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6.117.116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7.800.102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8.189.817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8.765.285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12.215.582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14.299.677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15.174.334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73.657.232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Aragón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55.707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495.466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1.499.508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1.933.743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1.975.224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2.031.114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2.005.525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2.337.695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2.452.107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1.389.395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16.175.484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Asturias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864.833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1.770.060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1.789.779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1.807.335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2.067.496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2.233.913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2.420.743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12.954.159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Comunidad de Madrid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3.077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3.417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1.676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64.010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482.633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917.722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1.438.282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3.440.754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7.834.464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9.323.363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23.509.598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Castilla - La Mancha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28.468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198.659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1.000.683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1.607.092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2.249.355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2.426.074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2.505.871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2.519.474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2.821.689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2.853.574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3.394.136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21.605.075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Comunidad Valenciana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35.008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80.308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172.126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1.029.030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1.830.592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2.690.425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4.255.673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7.075.446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7.460.897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7.660.425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8.698.542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8.499.719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9.111.463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58.599.654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Castilla y León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46.573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80.258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366.226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1.273.619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1.856.562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2.100.380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3.099.147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3.737.465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3.810.432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3.868.692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4.445.946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4.219.415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5.007.634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33.912.349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Canarias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17.182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1.629.853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1.896.316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2.497.326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3.817.519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4.530.171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4.846.876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19.235.243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Cataluña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125.044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1.282.525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1.889.155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2.330.640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2.561.388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3.652.927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5.484.248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6.008.941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6.785.617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7.618.078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8.527.775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9.420.021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55.686.359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Ceuta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7.894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54.603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103.208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137.521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133.715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137.883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136.314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184.707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177.804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230.513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1.304.162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Extremadura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39.131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310.106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662.479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1.034.457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1.311.319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1.390.546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1.475.664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1.504.506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1.677.475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1.647.410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1.912.053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12.965.146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Galicia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141.702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285.397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1.197.075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2.563.398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4.022.014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4.246.685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4.220.392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4.893.957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5.249.479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4.596.812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31.416.911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Illes Balears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742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42.364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857.901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1.570.776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1.891.785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1.937.174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1.928.280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1.872.785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2.062.121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1.970.638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2.268.397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16.402.963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La Rioja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3.667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135.958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232.283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360.907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427.721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453.103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471.327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562.185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663.099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627.347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639.334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4.576.931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Melilla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6.325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72.839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112.326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136.459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148.350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135.004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158.489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157.630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171.090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196.318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1.294.830</w:t>
            </w:r>
          </w:p>
        </w:tc>
      </w:tr>
      <w:tr w:rsidR="000C60F1" w:rsidRPr="00CD276A" w:rsidTr="00FC016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Órganos centrales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561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58.935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390.640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627.512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667.106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964.546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1.225.036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1.199.773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1.300.864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1.336.659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1.323.899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1.654.265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10.749.796</w:t>
            </w:r>
          </w:p>
        </w:tc>
      </w:tr>
      <w:tr w:rsidR="000C60F1" w:rsidRPr="00CD276A" w:rsidTr="00FC016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Región de Murcia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201.040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869.661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1.043.161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1.525.856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1.962.432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2.088.237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1.984.270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2.272.453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2.320.534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2.798.139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17.066.433</w:t>
            </w:r>
          </w:p>
        </w:tc>
      </w:tr>
      <w:tr w:rsidR="000C60F1" w:rsidRPr="00CD276A" w:rsidTr="00FC0164">
        <w:trPr>
          <w:trHeight w:val="285"/>
        </w:trPr>
        <w:tc>
          <w:tcPr>
            <w:tcW w:w="0" w:type="auto"/>
            <w:tcBorders>
              <w:top w:val="single" w:sz="4" w:space="0" w:color="BBBBBB"/>
              <w:left w:val="single" w:sz="4" w:space="0" w:color="000000"/>
              <w:bottom w:val="single" w:sz="4" w:space="0" w:color="000000"/>
              <w:right w:val="single" w:sz="4" w:space="0" w:color="BBBBBB"/>
            </w:tcBorders>
            <w:shd w:val="clear" w:color="000000" w:fill="33339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  <w:t xml:space="preserve">Total          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82.323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286.171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1.951.928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5.685.575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11.287.214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17.537.326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31.212.591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43.653.475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46.293.742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49.087.766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60.711.402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68.939.016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4"/>
                <w:szCs w:val="18"/>
                <w:lang w:eastAsia="es-ES"/>
              </w:rPr>
              <w:t>74.383.796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411.112.325</w:t>
            </w:r>
          </w:p>
        </w:tc>
      </w:tr>
      <w:tr w:rsidR="000C60F1" w:rsidRPr="00CD276A" w:rsidTr="00FC0164">
        <w:trPr>
          <w:trHeight w:val="123"/>
        </w:trPr>
        <w:tc>
          <w:tcPr>
            <w:tcW w:w="0" w:type="auto"/>
            <w:tcBorders>
              <w:top w:val="single" w:sz="4" w:space="0" w:color="BBBBBB"/>
              <w:left w:val="single" w:sz="4" w:space="0" w:color="000000"/>
              <w:bottom w:val="single" w:sz="4" w:space="0" w:color="000000"/>
              <w:right w:val="single" w:sz="4" w:space="0" w:color="BBBBBB"/>
            </w:tcBorders>
            <w:shd w:val="clear" w:color="000000" w:fill="33339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ES"/>
              </w:rPr>
              <w:t>Variación Anual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247,62%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582,08%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191,28%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98,52%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55,37%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77,98%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39,86%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6,05%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6,04%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23,68%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13,55%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60F1" w:rsidRPr="002E19CC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  <w:r w:rsidRPr="002E19CC"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  <w:t>7,90%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F1" w:rsidRDefault="000C60F1" w:rsidP="00FC0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</w:p>
          <w:p w:rsidR="000C60F1" w:rsidRPr="002E19CC" w:rsidRDefault="000C60F1" w:rsidP="00F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6"/>
                <w:szCs w:val="18"/>
                <w:lang w:eastAsia="es-ES"/>
              </w:rPr>
            </w:pPr>
          </w:p>
        </w:tc>
      </w:tr>
    </w:tbl>
    <w:p w:rsidR="00CF4F9E" w:rsidRDefault="00BB2DA1" w:rsidP="00CF4F9E">
      <w:r>
        <w:t xml:space="preserve">Evolución notificaciones Lexnet año 2006 a 2018: datos del Ministerio de Justicia </w:t>
      </w:r>
      <w:proofErr w:type="gramStart"/>
      <w:r>
        <w:t>( estadísticas</w:t>
      </w:r>
      <w:proofErr w:type="gramEnd"/>
      <w:r>
        <w:t xml:space="preserve"> del CGPJ)</w:t>
      </w:r>
    </w:p>
    <w:p w:rsidR="00CF4F9E" w:rsidRDefault="00CF4F9E" w:rsidP="00CF4F9E"/>
    <w:p w:rsidR="000C60F1" w:rsidRDefault="000C60F1" w:rsidP="00CF4F9E"/>
    <w:p w:rsidR="000C60F1" w:rsidRDefault="00BB2DA1" w:rsidP="00CF4F9E">
      <w:r w:rsidRPr="00BB2DA1">
        <w:rPr>
          <w:b/>
        </w:rPr>
        <w:lastRenderedPageBreak/>
        <w:t>Evolución Notificaciones 2006 a 2018</w:t>
      </w:r>
      <w:r>
        <w:t>: elaboración del REFOR a partir de datos del CGPJ</w:t>
      </w:r>
    </w:p>
    <w:p w:rsidR="000C60F1" w:rsidRDefault="000C60F1" w:rsidP="000C60F1">
      <w:pPr>
        <w:jc w:val="center"/>
      </w:pPr>
    </w:p>
    <w:p w:rsidR="000C60F1" w:rsidRDefault="000C60F1" w:rsidP="000C60F1">
      <w:pPr>
        <w:jc w:val="center"/>
        <w:sectPr w:rsidR="000C60F1" w:rsidSect="00984BA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B1AE784" wp14:editId="36DEBFD4">
            <wp:extent cx="9191625" cy="4200525"/>
            <wp:effectExtent l="0" t="0" r="9525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8B76BFB-FEE7-4D43-8BA3-B448D7EC37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60F1" w:rsidRDefault="00BB2DA1" w:rsidP="00CF4F9E">
      <w:r>
        <w:rPr>
          <w:b/>
        </w:rPr>
        <w:lastRenderedPageBreak/>
        <w:t xml:space="preserve">Variación anual notificaciones 2006 a 2018: </w:t>
      </w:r>
      <w:r>
        <w:t>elaboración del REFOR a partir de datos del CGPJ</w:t>
      </w:r>
    </w:p>
    <w:p w:rsidR="000C60F1" w:rsidRPr="000C60F1" w:rsidRDefault="000C60F1" w:rsidP="000C60F1"/>
    <w:p w:rsidR="000C60F1" w:rsidRDefault="000C60F1" w:rsidP="000C60F1"/>
    <w:p w:rsidR="000C60F1" w:rsidRDefault="000C60F1" w:rsidP="000C60F1">
      <w:pPr>
        <w:tabs>
          <w:tab w:val="left" w:pos="1875"/>
        </w:tabs>
        <w:jc w:val="center"/>
      </w:pPr>
      <w:r>
        <w:rPr>
          <w:noProof/>
        </w:rPr>
        <w:drawing>
          <wp:inline distT="0" distB="0" distL="0" distR="0" wp14:anchorId="4EED7E2F" wp14:editId="1A2F841E">
            <wp:extent cx="8934450" cy="3857625"/>
            <wp:effectExtent l="0" t="0" r="0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48A3D38C-8428-4537-95E9-A5E17B050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60F1" w:rsidRPr="000C60F1" w:rsidRDefault="000C60F1" w:rsidP="000C60F1">
      <w:pPr>
        <w:tabs>
          <w:tab w:val="left" w:pos="1875"/>
        </w:tabs>
        <w:sectPr w:rsidR="000C60F1" w:rsidRPr="000C60F1" w:rsidSect="000C60F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tab/>
      </w:r>
    </w:p>
    <w:p w:rsidR="00CF4F9E" w:rsidRPr="00401D23" w:rsidRDefault="00401D23" w:rsidP="00401D23">
      <w:pPr>
        <w:rPr>
          <w:b/>
          <w:noProof/>
        </w:rPr>
      </w:pPr>
      <w:r w:rsidRPr="00401D23">
        <w:rPr>
          <w:b/>
          <w:noProof/>
        </w:rPr>
        <w:lastRenderedPageBreak/>
        <w:t>Notificaciones practicadas entre 2006 a 2018 por CCAA:</w:t>
      </w:r>
      <w:r>
        <w:rPr>
          <w:b/>
          <w:noProof/>
        </w:rPr>
        <w:t xml:space="preserve"> </w:t>
      </w:r>
      <w:r>
        <w:t>elaboración del REFOR a partir de datos del CGPJ</w:t>
      </w:r>
    </w:p>
    <w:p w:rsidR="00401D23" w:rsidRDefault="00401D23" w:rsidP="00401D23">
      <w:r>
        <w:rPr>
          <w:noProof/>
        </w:rPr>
        <mc:AlternateContent>
          <mc:Choice Requires="cx2">
            <w:drawing>
              <wp:inline distT="0" distB="0" distL="0" distR="0" wp14:anchorId="41B0EB3F" wp14:editId="3B3D9C0D">
                <wp:extent cx="9105900" cy="4200525"/>
                <wp:effectExtent l="0" t="0" r="0" b="9525"/>
                <wp:docPr id="5" name="Gráfic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E61A2-DB2C-4DD8-97B8-210B9DC8D2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41B0EB3F" wp14:editId="3B3D9C0D">
                <wp:extent cx="9105900" cy="4200525"/>
                <wp:effectExtent l="0" t="0" r="0" b="9525"/>
                <wp:docPr id="5" name="Gráfic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E61A2-DB2C-4DD8-97B8-210B9DC8D24A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áfico 5">
                          <a:extLst>
                            <a:ext uri="{FF2B5EF4-FFF2-40B4-BE49-F238E27FC236}">
                              <a16:creationId xmlns:a16="http://schemas.microsoft.com/office/drawing/2014/main" id="{44FE61A2-DB2C-4DD8-97B8-210B9DC8D24A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5900" cy="420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F4F9E" w:rsidRDefault="00CF4F9E" w:rsidP="00CF4F9E">
      <w:pPr>
        <w:rPr>
          <w:noProof/>
        </w:rPr>
      </w:pPr>
    </w:p>
    <w:sectPr w:rsidR="00CF4F9E" w:rsidSect="000C60F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48" w:rsidRDefault="00534D48" w:rsidP="00326FEC">
      <w:pPr>
        <w:spacing w:after="0" w:line="240" w:lineRule="auto"/>
      </w:pPr>
      <w:r>
        <w:separator/>
      </w:r>
    </w:p>
  </w:endnote>
  <w:endnote w:type="continuationSeparator" w:id="0">
    <w:p w:rsidR="00534D48" w:rsidRDefault="00534D48" w:rsidP="0032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48" w:rsidRDefault="00534D48" w:rsidP="00326FEC">
      <w:pPr>
        <w:spacing w:after="0" w:line="240" w:lineRule="auto"/>
      </w:pPr>
      <w:r>
        <w:separator/>
      </w:r>
    </w:p>
  </w:footnote>
  <w:footnote w:type="continuationSeparator" w:id="0">
    <w:p w:rsidR="00534D48" w:rsidRDefault="00534D48" w:rsidP="0032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9E" w:rsidRDefault="00CF4F9E">
    <w:pPr>
      <w:pStyle w:val="Encabezado"/>
    </w:pPr>
  </w:p>
  <w:p w:rsidR="00CF4F9E" w:rsidRDefault="00CF4F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CC"/>
    <w:rsid w:val="000C60F1"/>
    <w:rsid w:val="002E19CC"/>
    <w:rsid w:val="00326FEC"/>
    <w:rsid w:val="003C4601"/>
    <w:rsid w:val="00401D23"/>
    <w:rsid w:val="00534D48"/>
    <w:rsid w:val="00584101"/>
    <w:rsid w:val="009803DE"/>
    <w:rsid w:val="00984BA6"/>
    <w:rsid w:val="00BB2DA1"/>
    <w:rsid w:val="00CD276A"/>
    <w:rsid w:val="00CE4648"/>
    <w:rsid w:val="00CF4F9E"/>
    <w:rsid w:val="00EC2D1A"/>
    <w:rsid w:val="00E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16B1-A364-4499-ACFC-697E98FE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FEC"/>
  </w:style>
  <w:style w:type="paragraph" w:styleId="Piedepgina">
    <w:name w:val="footer"/>
    <w:basedOn w:val="Normal"/>
    <w:link w:val="PiedepginaCar"/>
    <w:uiPriority w:val="99"/>
    <w:unhideWhenUsed/>
    <w:rsid w:val="0032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FEC"/>
  </w:style>
  <w:style w:type="paragraph" w:styleId="Textodeglobo">
    <w:name w:val="Balloon Text"/>
    <w:basedOn w:val="Normal"/>
    <w:link w:val="TextodegloboCar"/>
    <w:uiPriority w:val="99"/>
    <w:semiHidden/>
    <w:unhideWhenUsed/>
    <w:rsid w:val="00CF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F9E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84BA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C4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4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or.economistas.es/" TargetMode="External"/><Relationship Id="rId13" Type="http://schemas.microsoft.com/office/2014/relationships/chartEx" Target="charts/chartEx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arios-refor\Documents\Jorge\Estad&#237;sticas%20de%20uso%20Lexnet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arios-refor\Documents\Jorge\Estad&#237;sticas%20de%20uso%20Lexnet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becarios-refor\Documents\Jorge\Estad&#237;sticas%20de%20uso%20Lexnet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  <a:ea typeface="Calibri" panose="020F0502020204030204" pitchFamily="34" charset="0"/>
                <a:cs typeface="Calibri" panose="020F0502020204030204" pitchFamily="34" charset="0"/>
              </a:defRPr>
            </a:pPr>
            <a:r>
              <a:rPr lang="es-ES" sz="1400" b="1" i="0" u="none" strike="noStrike" baseline="0" dirty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  <a:ea typeface="Calibri" panose="020F0502020204030204" pitchFamily="34" charset="0"/>
                <a:cs typeface="Calibri" panose="020F0502020204030204" pitchFamily="34" charset="0"/>
              </a:rPr>
              <a:t>Evolución Notificaciones 2006-2018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  <a:ea typeface="Calibri" panose="020F0502020204030204" pitchFamily="34" charset="0"/>
              <a:cs typeface="Calibri" panose="020F0502020204030204" pitchFamily="34" charset="0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'Resumen General'!$B$5:$N$5</c:f>
              <c:strCache>
                <c:ptCount val="13"/>
                <c:pt idx="0">
                  <c:v>Notificaciones practicadas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dLbl>
              <c:idx val="0"/>
              <c:layout>
                <c:manualLayout>
                  <c:x val="-3.3179056166144617E-2"/>
                  <c:y val="-3.44827586206897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A6-4185-B0A0-1E4C7B9CADC8}"/>
                </c:ext>
              </c:extLst>
            </c:dLbl>
            <c:dLbl>
              <c:idx val="1"/>
              <c:layout>
                <c:manualLayout>
                  <c:x val="-3.5106404294704553E-2"/>
                  <c:y val="-4.31034482758621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A6-4185-B0A0-1E4C7B9CADC8}"/>
                </c:ext>
              </c:extLst>
            </c:dLbl>
            <c:dLbl>
              <c:idx val="2"/>
              <c:layout>
                <c:manualLayout>
                  <c:x val="-4.476567176725469E-2"/>
                  <c:y val="-4.3103448275862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A6-4185-B0A0-1E4C7B9CADC8}"/>
                </c:ext>
              </c:extLst>
            </c:dLbl>
            <c:dLbl>
              <c:idx val="3"/>
              <c:layout>
                <c:manualLayout>
                  <c:x val="-4.2495008258761249E-2"/>
                  <c:y val="-4.28514626448089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A6-4185-B0A0-1E4C7B9CADC8}"/>
                </c:ext>
              </c:extLst>
            </c:dLbl>
            <c:dLbl>
              <c:idx val="4"/>
              <c:layout>
                <c:manualLayout>
                  <c:x val="-5.0111023400929176E-2"/>
                  <c:y val="-4.2952305325851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A6-4185-B0A0-1E4C7B9CADC8}"/>
                </c:ext>
              </c:extLst>
            </c:dLbl>
            <c:dLbl>
              <c:idx val="5"/>
              <c:layout>
                <c:manualLayout>
                  <c:x val="-5.6206365105793958E-2"/>
                  <c:y val="-4.5825861266717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A6-4185-B0A0-1E4C7B9CADC8}"/>
                </c:ext>
              </c:extLst>
            </c:dLbl>
            <c:dLbl>
              <c:idx val="6"/>
              <c:layout>
                <c:manualLayout>
                  <c:x val="-6.2921898873845486E-2"/>
                  <c:y val="-2.0114891586059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A6-4185-B0A0-1E4C7B9CADC8}"/>
                </c:ext>
              </c:extLst>
            </c:dLbl>
            <c:dLbl>
              <c:idx val="7"/>
              <c:layout>
                <c:manualLayout>
                  <c:x val="-6.0699485015931559E-2"/>
                  <c:y val="-2.85842953870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A6-4185-B0A0-1E4C7B9CADC8}"/>
                </c:ext>
              </c:extLst>
            </c:dLbl>
            <c:dLbl>
              <c:idx val="8"/>
              <c:layout>
                <c:manualLayout>
                  <c:x val="-6.1750427150188865E-2"/>
                  <c:y val="-3.7356321839080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A6-4185-B0A0-1E4C7B9CADC8}"/>
                </c:ext>
              </c:extLst>
            </c:dLbl>
            <c:dLbl>
              <c:idx val="9"/>
              <c:layout>
                <c:manualLayout>
                  <c:x val="-6.0244686424751434E-2"/>
                  <c:y val="-6.3218390804597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3A6-4185-B0A0-1E4C7B9CADC8}"/>
                </c:ext>
              </c:extLst>
            </c:dLbl>
            <c:dLbl>
              <c:idx val="10"/>
              <c:layout>
                <c:manualLayout>
                  <c:x val="-7.5302093679125812E-2"/>
                  <c:y val="-2.5862068965517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3A6-4185-B0A0-1E4C7B9CADC8}"/>
                </c:ext>
              </c:extLst>
            </c:dLbl>
            <c:dLbl>
              <c:idx val="11"/>
              <c:layout>
                <c:manualLayout>
                  <c:x val="-5.2715982797564308E-2"/>
                  <c:y val="-3.4482758620689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3A6-4185-B0A0-1E4C7B9CADC8}"/>
                </c:ext>
              </c:extLst>
            </c:dLbl>
            <c:dLbl>
              <c:idx val="12"/>
              <c:layout>
                <c:manualLayout>
                  <c:x val="-2.4786507899151523E-2"/>
                  <c:y val="-4.3103448275862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3A6-4185-B0A0-1E4C7B9CADC8}"/>
                </c:ext>
              </c:extLst>
            </c:dLbl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alpha val="0"/>
                  </a:schemeClr>
                </a:solidFill>
              </a:ln>
              <a:effectLst>
                <a:outerShdw sx="1000" sy="1000" algn="ctr" rotWithShape="0">
                  <a:srgbClr val="000000"/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'Resumen General'!$B$6:$N$6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'Resumen General'!$B$24:$N$24</c:f>
              <c:numCache>
                <c:formatCode>#,##0</c:formatCode>
                <c:ptCount val="13"/>
                <c:pt idx="0">
                  <c:v>82323</c:v>
                </c:pt>
                <c:pt idx="1">
                  <c:v>286171</c:v>
                </c:pt>
                <c:pt idx="2">
                  <c:v>1951928</c:v>
                </c:pt>
                <c:pt idx="3">
                  <c:v>5685575</c:v>
                </c:pt>
                <c:pt idx="4">
                  <c:v>11287214</c:v>
                </c:pt>
                <c:pt idx="5">
                  <c:v>17537326</c:v>
                </c:pt>
                <c:pt idx="6">
                  <c:v>31212591</c:v>
                </c:pt>
                <c:pt idx="7">
                  <c:v>43653475</c:v>
                </c:pt>
                <c:pt idx="8">
                  <c:v>46293742</c:v>
                </c:pt>
                <c:pt idx="9">
                  <c:v>49087766</c:v>
                </c:pt>
                <c:pt idx="10">
                  <c:v>60711402</c:v>
                </c:pt>
                <c:pt idx="11">
                  <c:v>68939016</c:v>
                </c:pt>
                <c:pt idx="12">
                  <c:v>74383796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73A6-4185-B0A0-1E4C7B9CA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4596560"/>
        <c:axId val="328886456"/>
      </c:lineChart>
      <c:catAx>
        <c:axId val="44459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28886456"/>
        <c:crosses val="autoZero"/>
        <c:auto val="1"/>
        <c:lblAlgn val="ctr"/>
        <c:lblOffset val="100"/>
        <c:noMultiLvlLbl val="0"/>
      </c:catAx>
      <c:valAx>
        <c:axId val="328886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4459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Variación Anual Notificaciones</a:t>
            </a:r>
            <a:r>
              <a:rPr lang="en-US" b="1" baseline="0"/>
              <a:t> 2006-2018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'Resumen General'!$A$25</c:f>
              <c:strCache>
                <c:ptCount val="1"/>
                <c:pt idx="0">
                  <c:v>Variación Anual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75-4F48-AD07-39F560C9F6DB}"/>
                </c:ext>
              </c:extLst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'Resumen General'!$B$6:$N$6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'Resumen General'!$B$25:$N$25</c:f>
              <c:numCache>
                <c:formatCode>0.00%</c:formatCode>
                <c:ptCount val="13"/>
                <c:pt idx="0" formatCode="#,##0">
                  <c:v>0</c:v>
                </c:pt>
                <c:pt idx="1">
                  <c:v>2.4761974174896446</c:v>
                </c:pt>
                <c:pt idx="2">
                  <c:v>5.820844879460183</c:v>
                </c:pt>
                <c:pt idx="3">
                  <c:v>1.9127995499834012</c:v>
                </c:pt>
                <c:pt idx="4">
                  <c:v>0.98523702527888557</c:v>
                </c:pt>
                <c:pt idx="5">
                  <c:v>0.55373380889207913</c:v>
                </c:pt>
                <c:pt idx="6">
                  <c:v>0.7797805092977117</c:v>
                </c:pt>
                <c:pt idx="7">
                  <c:v>0.39858542983503042</c:v>
                </c:pt>
                <c:pt idx="8">
                  <c:v>6.0482401458303192E-2</c:v>
                </c:pt>
                <c:pt idx="9">
                  <c:v>6.0354248312871395E-2</c:v>
                </c:pt>
                <c:pt idx="10">
                  <c:v>0.23679293125704692</c:v>
                </c:pt>
                <c:pt idx="11">
                  <c:v>0.13552007907839125</c:v>
                </c:pt>
                <c:pt idx="12">
                  <c:v>7.897965935574125E-2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75-4F48-AD07-39F560C9F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99584"/>
        <c:axId val="9100240"/>
      </c:lineChart>
      <c:catAx>
        <c:axId val="909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100240"/>
        <c:crosses val="autoZero"/>
        <c:auto val="1"/>
        <c:lblAlgn val="ctr"/>
        <c:lblOffset val="100"/>
        <c:noMultiLvlLbl val="0"/>
      </c:catAx>
      <c:valAx>
        <c:axId val="910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09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'Resumen General'!$Q$90:$Q$106</cx:f>
        <cx:lvl ptCount="17">
          <cx:pt idx="0">Andalucía</cx:pt>
          <cx:pt idx="1">Comunidad Valenciana</cx:pt>
          <cx:pt idx="2">Cataluña</cx:pt>
          <cx:pt idx="3">Castilla y León</cx:pt>
          <cx:pt idx="4">Galicia</cx:pt>
          <cx:pt idx="5">Comunidad de Madrid</cx:pt>
          <cx:pt idx="6">Castilla - La Mancha</cx:pt>
          <cx:pt idx="7">Canarias</cx:pt>
          <cx:pt idx="8">Región de Murcia</cx:pt>
          <cx:pt idx="9">Illes Balears</cx:pt>
          <cx:pt idx="10">Aragón</cx:pt>
          <cx:pt idx="11">Extremadura</cx:pt>
          <cx:pt idx="12">Asturias</cx:pt>
          <cx:pt idx="13">Órganos centrales</cx:pt>
          <cx:pt idx="14">La Rioja</cx:pt>
          <cx:pt idx="15">Ceuta</cx:pt>
          <cx:pt idx="16">Melilla</cx:pt>
        </cx:lvl>
      </cx:strDim>
      <cx:numDim type="val">
        <cx:f>'Resumen General'!$AE$90:$AE$106</cx:f>
        <cx:lvl ptCount="17" formatCode="#.##0">
          <cx:pt idx="0">73657232</cx:pt>
          <cx:pt idx="1">58599654</cx:pt>
          <cx:pt idx="2">55686359</cx:pt>
          <cx:pt idx="3">33912349</cx:pt>
          <cx:pt idx="4">31416911</cx:pt>
          <cx:pt idx="5">23509598</cx:pt>
          <cx:pt idx="6">21605075</cx:pt>
          <cx:pt idx="7">19235243</cx:pt>
          <cx:pt idx="8">17066433</cx:pt>
          <cx:pt idx="9">16402963</cx:pt>
          <cx:pt idx="10">16175484</cx:pt>
          <cx:pt idx="11">12965146</cx:pt>
          <cx:pt idx="12">12954159</cx:pt>
          <cx:pt idx="13">10749796</cx:pt>
          <cx:pt idx="14">4576931</cx:pt>
          <cx:pt idx="15">1304162</cx:pt>
          <cx:pt idx="16">1294830</cx:pt>
        </cx:lvl>
      </cx:numDim>
    </cx:data>
  </cx:chartData>
  <cx:chart>
    <cx:title pos="t" align="ctr" overlay="0">
      <cx:tx>
        <cx:txData>
          <cx:v>Notificaciones practicadas entre 2006-2018 por CCAA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es-ES" sz="1400" b="1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Notificaciones practicadas entre 2006-2018 por CCAA</a:t>
          </a:r>
        </a:p>
      </cx:txPr>
    </cx:title>
    <cx:plotArea>
      <cx:plotAreaRegion>
        <cx:series layoutId="funnel" uniqueId="{F1502429-65FD-4378-866F-F646E4CC241F}"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b="1">
                    <a:solidFill>
                      <a:schemeClr val="bg1"/>
                    </a:solidFill>
                  </a:defRPr>
                </a:pPr>
                <a:endParaRPr lang="es-ES" sz="900" b="1" i="0" u="none" strike="noStrike" baseline="0">
                  <a:solidFill>
                    <a:schemeClr val="bg1"/>
                  </a:solidFill>
                  <a:latin typeface="Calibri" panose="020F0502020204030204"/>
                </a:endParaRPr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b="1">
                <a:solidFill>
                  <a:sysClr val="windowText" lastClr="000000"/>
                </a:solidFill>
              </a:defRPr>
            </a:pPr>
            <a:endParaRPr lang="es-ES" sz="900" b="1" i="0" u="none" strike="noStrike" baseline="0">
              <a:solidFill>
                <a:sysClr val="windowText" lastClr="000000"/>
              </a:solidFill>
              <a:latin typeface="Calibri" panose="020F0502020204030204"/>
            </a:endParaRPr>
          </a:p>
        </cx:txPr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36CA-569A-4023-B4E9-1AB755C5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BECARIOS-REFOR</dc:creator>
  <cp:keywords/>
  <dc:description/>
  <cp:lastModifiedBy>SEC TÉCNICA EAF</cp:lastModifiedBy>
  <cp:revision>2</cp:revision>
  <cp:lastPrinted>2019-07-23T12:16:00Z</cp:lastPrinted>
  <dcterms:created xsi:type="dcterms:W3CDTF">2019-07-24T09:57:00Z</dcterms:created>
  <dcterms:modified xsi:type="dcterms:W3CDTF">2019-07-24T09:57:00Z</dcterms:modified>
</cp:coreProperties>
</file>