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455A" w:rsidRPr="002E455A" w:rsidRDefault="002E455A" w:rsidP="002E455A">
      <w:pPr>
        <w:autoSpaceDE w:val="0"/>
        <w:autoSpaceDN w:val="0"/>
        <w:adjustRightInd w:val="0"/>
        <w:spacing w:after="0" w:line="240" w:lineRule="auto"/>
        <w:jc w:val="center"/>
        <w:rPr>
          <w:rFonts w:ascii="Times New Roman" w:hAnsi="Times New Roman" w:cs="Times New Roman"/>
          <w:b/>
          <w:i/>
          <w:sz w:val="32"/>
          <w:szCs w:val="32"/>
        </w:rPr>
      </w:pPr>
      <w:bookmarkStart w:id="0" w:name="_GoBack"/>
      <w:bookmarkEnd w:id="0"/>
      <w:r w:rsidRPr="002E455A">
        <w:rPr>
          <w:rFonts w:ascii="Times New Roman" w:hAnsi="Times New Roman" w:cs="Times New Roman"/>
          <w:b/>
          <w:i/>
          <w:sz w:val="32"/>
          <w:szCs w:val="32"/>
        </w:rPr>
        <w:t xml:space="preserve">Guía para pymes </w:t>
      </w:r>
    </w:p>
    <w:p w:rsidR="002E455A" w:rsidRPr="002E455A" w:rsidRDefault="002E455A" w:rsidP="002E455A">
      <w:pPr>
        <w:autoSpaceDE w:val="0"/>
        <w:autoSpaceDN w:val="0"/>
        <w:adjustRightInd w:val="0"/>
        <w:spacing w:after="0" w:line="240" w:lineRule="auto"/>
        <w:jc w:val="center"/>
        <w:rPr>
          <w:rFonts w:ascii="Times New Roman" w:hAnsi="Times New Roman" w:cs="Times New Roman"/>
          <w:b/>
          <w:i/>
          <w:sz w:val="32"/>
          <w:szCs w:val="32"/>
        </w:rPr>
      </w:pPr>
      <w:r w:rsidRPr="002E455A">
        <w:rPr>
          <w:rFonts w:ascii="Times New Roman" w:hAnsi="Times New Roman" w:cs="Times New Roman"/>
          <w:b/>
          <w:i/>
          <w:sz w:val="32"/>
          <w:szCs w:val="32"/>
        </w:rPr>
        <w:t>ante los Objetivos de Desarrollo Sostenible</w:t>
      </w:r>
    </w:p>
    <w:p w:rsidR="002E455A" w:rsidRDefault="002E455A" w:rsidP="00237E8A">
      <w:pPr>
        <w:spacing w:line="240" w:lineRule="auto"/>
        <w:rPr>
          <w:rFonts w:ascii="Times New Roman" w:hAnsi="Times New Roman" w:cs="Times New Roman"/>
          <w:b/>
          <w:sz w:val="21"/>
          <w:szCs w:val="21"/>
          <w:u w:val="single"/>
        </w:rPr>
      </w:pPr>
    </w:p>
    <w:p w:rsidR="00237E8A" w:rsidRPr="002E455A" w:rsidRDefault="002A4450" w:rsidP="002E455A">
      <w:pPr>
        <w:spacing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PRINCIPALES </w:t>
      </w:r>
      <w:r w:rsidR="00237E8A" w:rsidRPr="002E455A">
        <w:rPr>
          <w:rFonts w:ascii="Times New Roman" w:hAnsi="Times New Roman" w:cs="Times New Roman"/>
          <w:b/>
          <w:sz w:val="24"/>
          <w:szCs w:val="24"/>
          <w:u w:val="single"/>
        </w:rPr>
        <w:t>CONCLUSIONES Y PROPUESTAS:</w:t>
      </w:r>
    </w:p>
    <w:p w:rsidR="003801F7" w:rsidRPr="00CD2061" w:rsidRDefault="003801F7" w:rsidP="00237E8A">
      <w:pPr>
        <w:spacing w:line="240" w:lineRule="auto"/>
        <w:rPr>
          <w:rFonts w:ascii="Times New Roman" w:hAnsi="Times New Roman" w:cs="Times New Roman"/>
          <w:b/>
          <w:sz w:val="21"/>
          <w:szCs w:val="21"/>
        </w:rPr>
      </w:pPr>
    </w:p>
    <w:p w:rsidR="00237E8A" w:rsidRPr="00CD2061" w:rsidRDefault="00237E8A" w:rsidP="00237E8A">
      <w:pPr>
        <w:pStyle w:val="Prrafodelista"/>
        <w:numPr>
          <w:ilvl w:val="0"/>
          <w:numId w:val="5"/>
        </w:numPr>
        <w:spacing w:after="240" w:line="240" w:lineRule="auto"/>
        <w:ind w:left="714" w:hanging="357"/>
        <w:jc w:val="both"/>
        <w:rPr>
          <w:rFonts w:ascii="Times New Roman" w:hAnsi="Times New Roman" w:cs="Times New Roman"/>
          <w:sz w:val="21"/>
          <w:szCs w:val="21"/>
        </w:rPr>
      </w:pPr>
      <w:r w:rsidRPr="00CD2061">
        <w:rPr>
          <w:rFonts w:ascii="Times New Roman" w:hAnsi="Times New Roman" w:cs="Times New Roman"/>
          <w:color w:val="000000" w:themeColor="text1"/>
          <w:sz w:val="21"/>
          <w:szCs w:val="21"/>
          <w:shd w:val="clear" w:color="auto" w:fill="FFFFFF"/>
        </w:rPr>
        <w:t xml:space="preserve">El 25 de septiembre de 2015 la Asamblea General de Naciones Unidas aprobó, por unanimidad, la </w:t>
      </w:r>
      <w:r w:rsidRPr="00CD2061">
        <w:rPr>
          <w:rFonts w:ascii="Times New Roman" w:hAnsi="Times New Roman" w:cs="Times New Roman"/>
          <w:b/>
          <w:color w:val="000000" w:themeColor="text1"/>
          <w:sz w:val="21"/>
          <w:szCs w:val="21"/>
          <w:shd w:val="clear" w:color="auto" w:fill="FFFFFF"/>
        </w:rPr>
        <w:t>Agenda 2030 para el Desarrollo Sostenible</w:t>
      </w:r>
      <w:r w:rsidRPr="00CD2061">
        <w:rPr>
          <w:rFonts w:ascii="Times New Roman" w:hAnsi="Times New Roman" w:cs="Times New Roman"/>
          <w:color w:val="000000" w:themeColor="text1"/>
          <w:sz w:val="21"/>
          <w:szCs w:val="21"/>
          <w:shd w:val="clear" w:color="auto" w:fill="FFFFFF"/>
        </w:rPr>
        <w:t>: un plan de acción en favor de las personas, el planeta, la prosperidad y la paz universal. Cuenta con 17 Objetivos de Desarrollo Sostenible (ODS) y 169 metas concretas a desarrollar con horizonte 2030.</w:t>
      </w:r>
    </w:p>
    <w:p w:rsidR="00237E8A" w:rsidRPr="00CD2061" w:rsidRDefault="00237E8A" w:rsidP="00237E8A">
      <w:pPr>
        <w:pStyle w:val="Prrafodelista"/>
        <w:spacing w:after="240" w:line="240" w:lineRule="auto"/>
        <w:ind w:left="1440"/>
        <w:jc w:val="both"/>
        <w:rPr>
          <w:rFonts w:ascii="Times New Roman" w:hAnsi="Times New Roman" w:cs="Times New Roman"/>
          <w:sz w:val="21"/>
          <w:szCs w:val="21"/>
        </w:rPr>
      </w:pPr>
    </w:p>
    <w:p w:rsidR="00237E8A" w:rsidRPr="00CD2061" w:rsidRDefault="00237E8A" w:rsidP="00237E8A">
      <w:pPr>
        <w:pStyle w:val="Prrafodelista"/>
        <w:numPr>
          <w:ilvl w:val="0"/>
          <w:numId w:val="5"/>
        </w:numPr>
        <w:spacing w:after="240" w:line="240" w:lineRule="auto"/>
        <w:ind w:left="714" w:hanging="357"/>
        <w:jc w:val="both"/>
        <w:rPr>
          <w:rFonts w:ascii="Times New Roman" w:hAnsi="Times New Roman" w:cs="Times New Roman"/>
          <w:sz w:val="21"/>
          <w:szCs w:val="21"/>
        </w:rPr>
      </w:pPr>
      <w:r w:rsidRPr="00CD2061">
        <w:rPr>
          <w:rFonts w:ascii="Times New Roman" w:hAnsi="Times New Roman" w:cs="Times New Roman"/>
          <w:sz w:val="21"/>
          <w:szCs w:val="21"/>
        </w:rPr>
        <w:t>Las pymes desempeñan un papel central en el desarrollo económico tanto a nivel global, donde abarcan más del 50% del PIB, como a nivel nacional, donde representan el 99,98% del tejido empresarial y generan el 70% del empleo. Por ello, el llamamiento al sector privado para su contribución a los 17 Objetivos de la Agenda 2030 incluye especialmente a este modelo empresarial.</w:t>
      </w:r>
    </w:p>
    <w:p w:rsidR="00237E8A" w:rsidRPr="00CD2061" w:rsidRDefault="00237E8A" w:rsidP="00237E8A">
      <w:pPr>
        <w:pStyle w:val="Prrafodelista"/>
        <w:spacing w:line="240" w:lineRule="auto"/>
        <w:rPr>
          <w:rFonts w:ascii="Times New Roman" w:hAnsi="Times New Roman" w:cs="Times New Roman"/>
          <w:sz w:val="21"/>
          <w:szCs w:val="21"/>
        </w:rPr>
      </w:pPr>
    </w:p>
    <w:p w:rsidR="00237E8A" w:rsidRPr="00CD2061" w:rsidRDefault="00237E8A" w:rsidP="00237E8A">
      <w:pPr>
        <w:pStyle w:val="Prrafodelista"/>
        <w:numPr>
          <w:ilvl w:val="0"/>
          <w:numId w:val="5"/>
        </w:numPr>
        <w:spacing w:after="240" w:line="240" w:lineRule="auto"/>
        <w:ind w:left="714" w:hanging="357"/>
        <w:jc w:val="both"/>
        <w:rPr>
          <w:rFonts w:ascii="Times New Roman" w:hAnsi="Times New Roman" w:cs="Times New Roman"/>
          <w:b/>
          <w:sz w:val="21"/>
          <w:szCs w:val="21"/>
        </w:rPr>
      </w:pPr>
      <w:r w:rsidRPr="00CD2061">
        <w:rPr>
          <w:rFonts w:ascii="Times New Roman" w:hAnsi="Times New Roman" w:cs="Times New Roman"/>
          <w:sz w:val="21"/>
          <w:szCs w:val="21"/>
        </w:rPr>
        <w:t xml:space="preserve">A pesar del importante papel que desempeñan, </w:t>
      </w:r>
      <w:r w:rsidRPr="00CD2061">
        <w:rPr>
          <w:rFonts w:ascii="Times New Roman" w:hAnsi="Times New Roman" w:cs="Times New Roman"/>
          <w:b/>
          <w:sz w:val="21"/>
          <w:szCs w:val="21"/>
        </w:rPr>
        <w:t>un 78% de las pymes españolas no conoce la Agenda 2030 o sólo lo hace de forma superficial.</w:t>
      </w:r>
    </w:p>
    <w:p w:rsidR="00237E8A" w:rsidRPr="00CD2061" w:rsidRDefault="00237E8A" w:rsidP="00237E8A">
      <w:pPr>
        <w:spacing w:line="240" w:lineRule="auto"/>
        <w:rPr>
          <w:rFonts w:ascii="Times New Roman" w:hAnsi="Times New Roman" w:cs="Times New Roman"/>
          <w:b/>
          <w:sz w:val="21"/>
          <w:szCs w:val="21"/>
          <w:u w:val="single"/>
        </w:rPr>
      </w:pPr>
      <w:r w:rsidRPr="00CD2061">
        <w:rPr>
          <w:rFonts w:ascii="Times New Roman" w:hAnsi="Times New Roman" w:cs="Times New Roman"/>
          <w:b/>
          <w:sz w:val="21"/>
          <w:szCs w:val="21"/>
          <w:u w:val="single"/>
        </w:rPr>
        <w:t>Metas:</w:t>
      </w:r>
    </w:p>
    <w:p w:rsidR="00237E8A" w:rsidRPr="00CD2061" w:rsidRDefault="00237E8A" w:rsidP="003801F7">
      <w:pPr>
        <w:pStyle w:val="Prrafodelista"/>
        <w:numPr>
          <w:ilvl w:val="0"/>
          <w:numId w:val="5"/>
        </w:numPr>
        <w:spacing w:after="240" w:line="240" w:lineRule="auto"/>
        <w:ind w:left="714" w:hanging="357"/>
        <w:jc w:val="both"/>
        <w:rPr>
          <w:rFonts w:ascii="Times New Roman" w:hAnsi="Times New Roman" w:cs="Times New Roman"/>
          <w:sz w:val="21"/>
          <w:szCs w:val="21"/>
        </w:rPr>
      </w:pPr>
      <w:r w:rsidRPr="00CD2061">
        <w:rPr>
          <w:rFonts w:ascii="Times New Roman" w:hAnsi="Times New Roman" w:cs="Times New Roman"/>
          <w:sz w:val="21"/>
          <w:szCs w:val="21"/>
        </w:rPr>
        <w:t>Consciente del papel que representan las pymes, Naciones Unidas ha incluido alusiones específicas a las pequeñas y medianas empresas dentro de las metas de los Objetivos de Desar</w:t>
      </w:r>
      <w:r w:rsidR="003801F7" w:rsidRPr="00CD2061">
        <w:rPr>
          <w:rFonts w:ascii="Times New Roman" w:hAnsi="Times New Roman" w:cs="Times New Roman"/>
          <w:sz w:val="21"/>
          <w:szCs w:val="21"/>
        </w:rPr>
        <w:t>r</w:t>
      </w:r>
      <w:r w:rsidRPr="00CD2061">
        <w:rPr>
          <w:rFonts w:ascii="Times New Roman" w:hAnsi="Times New Roman" w:cs="Times New Roman"/>
          <w:sz w:val="21"/>
          <w:szCs w:val="21"/>
        </w:rPr>
        <w:t>ollo Sostenible. Un claro ejemplo lo tene</w:t>
      </w:r>
      <w:r w:rsidR="003801F7" w:rsidRPr="00CD2061">
        <w:rPr>
          <w:rFonts w:ascii="Times New Roman" w:hAnsi="Times New Roman" w:cs="Times New Roman"/>
          <w:sz w:val="21"/>
          <w:szCs w:val="21"/>
        </w:rPr>
        <w:t>m</w:t>
      </w:r>
      <w:r w:rsidRPr="00CD2061">
        <w:rPr>
          <w:rFonts w:ascii="Times New Roman" w:hAnsi="Times New Roman" w:cs="Times New Roman"/>
          <w:sz w:val="21"/>
          <w:szCs w:val="21"/>
        </w:rPr>
        <w:t xml:space="preserve">os en la meta 8.3 que tiene como fin “promover políticas orientadas al desarrollo que apoyen las actividades productivas, la creación de puestos de trabajo decentes, el emprendimiento, la creatividad y la innovación, y </w:t>
      </w:r>
      <w:r w:rsidRPr="00CD2061">
        <w:rPr>
          <w:rFonts w:ascii="Times New Roman" w:hAnsi="Times New Roman" w:cs="Times New Roman"/>
          <w:b/>
          <w:sz w:val="21"/>
          <w:szCs w:val="21"/>
        </w:rPr>
        <w:t>fomentar la formalización y el crecimiento de las microempresas y las pequeñas y medianas empresas</w:t>
      </w:r>
      <w:r w:rsidRPr="00CD2061">
        <w:rPr>
          <w:rFonts w:ascii="Times New Roman" w:hAnsi="Times New Roman" w:cs="Times New Roman"/>
          <w:sz w:val="21"/>
          <w:szCs w:val="21"/>
        </w:rPr>
        <w:t>, incluso mediante el acceso a servicios financieros”.</w:t>
      </w:r>
      <w:r w:rsidR="003801F7" w:rsidRPr="00CD2061">
        <w:rPr>
          <w:rFonts w:ascii="Times New Roman" w:hAnsi="Times New Roman" w:cs="Times New Roman"/>
          <w:sz w:val="21"/>
          <w:szCs w:val="21"/>
        </w:rPr>
        <w:t xml:space="preserve"> Esta meta apunta de forma directa a las pymes, pero hay otras que inciden también en este tipo de empresas.</w:t>
      </w:r>
    </w:p>
    <w:p w:rsidR="00237E8A" w:rsidRPr="00CD2061" w:rsidRDefault="00237E8A" w:rsidP="003801F7">
      <w:pPr>
        <w:pStyle w:val="Prrafodelista"/>
        <w:spacing w:after="240" w:line="240" w:lineRule="auto"/>
        <w:ind w:left="714"/>
        <w:jc w:val="both"/>
        <w:rPr>
          <w:rFonts w:ascii="Times New Roman" w:hAnsi="Times New Roman" w:cs="Times New Roman"/>
          <w:sz w:val="21"/>
          <w:szCs w:val="21"/>
        </w:rPr>
      </w:pPr>
      <w:r w:rsidRPr="00CD2061">
        <w:rPr>
          <w:rFonts w:ascii="Times New Roman" w:hAnsi="Times New Roman" w:cs="Times New Roman"/>
          <w:b/>
          <w:sz w:val="21"/>
          <w:szCs w:val="21"/>
        </w:rPr>
        <w:t xml:space="preserve">  </w:t>
      </w:r>
    </w:p>
    <w:p w:rsidR="00237E8A" w:rsidRPr="00CD2061" w:rsidRDefault="00237E8A" w:rsidP="003801F7">
      <w:pPr>
        <w:spacing w:line="240" w:lineRule="auto"/>
        <w:rPr>
          <w:rFonts w:ascii="Times New Roman" w:hAnsi="Times New Roman" w:cs="Times New Roman"/>
          <w:b/>
          <w:sz w:val="21"/>
          <w:szCs w:val="21"/>
          <w:u w:val="single"/>
        </w:rPr>
      </w:pPr>
      <w:r w:rsidRPr="00CD2061">
        <w:rPr>
          <w:rFonts w:ascii="Times New Roman" w:hAnsi="Times New Roman" w:cs="Times New Roman"/>
          <w:b/>
          <w:sz w:val="21"/>
          <w:szCs w:val="21"/>
          <w:u w:val="single"/>
        </w:rPr>
        <w:t>Responsabilidad Social Empresarial:</w:t>
      </w:r>
    </w:p>
    <w:p w:rsidR="00237E8A" w:rsidRPr="00CD2061" w:rsidRDefault="00237E8A" w:rsidP="00237E8A">
      <w:pPr>
        <w:pStyle w:val="Prrafodelista"/>
        <w:spacing w:line="240" w:lineRule="auto"/>
        <w:ind w:left="1418"/>
        <w:jc w:val="both"/>
        <w:rPr>
          <w:rFonts w:ascii="Times New Roman" w:hAnsi="Times New Roman" w:cs="Times New Roman"/>
          <w:sz w:val="21"/>
          <w:szCs w:val="21"/>
        </w:rPr>
      </w:pPr>
    </w:p>
    <w:p w:rsidR="00237E8A" w:rsidRPr="00CD2061" w:rsidRDefault="00237E8A" w:rsidP="003801F7">
      <w:pPr>
        <w:pStyle w:val="Prrafodelista"/>
        <w:numPr>
          <w:ilvl w:val="0"/>
          <w:numId w:val="4"/>
        </w:numPr>
        <w:spacing w:line="240" w:lineRule="auto"/>
        <w:jc w:val="both"/>
        <w:rPr>
          <w:rFonts w:ascii="Times New Roman" w:hAnsi="Times New Roman" w:cs="Times New Roman"/>
          <w:b/>
          <w:sz w:val="21"/>
          <w:szCs w:val="21"/>
        </w:rPr>
      </w:pPr>
      <w:r w:rsidRPr="00CD2061">
        <w:rPr>
          <w:rFonts w:ascii="Times New Roman" w:hAnsi="Times New Roman" w:cs="Times New Roman"/>
          <w:sz w:val="21"/>
          <w:szCs w:val="21"/>
        </w:rPr>
        <w:t xml:space="preserve">La responsabilidad de las empresas ha ido evolucionando con el tiempo ampliando su radio de acción de sus grupos de interés más cercanos hasta el concepto del desarrollo sostenible, que implica a las personas, las economías y los ecosistemas con un sentido de futuro. Así, </w:t>
      </w:r>
      <w:r w:rsidRPr="00CD2061">
        <w:rPr>
          <w:rFonts w:ascii="Times New Roman" w:hAnsi="Times New Roman" w:cs="Times New Roman"/>
          <w:b/>
          <w:sz w:val="21"/>
          <w:szCs w:val="21"/>
        </w:rPr>
        <w:t>se ha avanzado desde trabajar la responsabilidad social hasta apostar por que las empresas sean actores clave del desarrollo sostenible, lo que las permite, al mismo tiempo, apuntalar y dar nuevas oportunidades a sus negocios.</w:t>
      </w:r>
    </w:p>
    <w:p w:rsidR="003801F7" w:rsidRPr="00CD2061" w:rsidRDefault="003801F7" w:rsidP="003801F7">
      <w:pPr>
        <w:pStyle w:val="Prrafodelista"/>
        <w:spacing w:line="240" w:lineRule="auto"/>
        <w:jc w:val="both"/>
        <w:rPr>
          <w:rFonts w:ascii="Times New Roman" w:hAnsi="Times New Roman" w:cs="Times New Roman"/>
          <w:b/>
          <w:sz w:val="21"/>
          <w:szCs w:val="21"/>
        </w:rPr>
      </w:pPr>
    </w:p>
    <w:p w:rsidR="00237E8A" w:rsidRPr="00CD2061" w:rsidRDefault="00237E8A" w:rsidP="00237E8A">
      <w:pPr>
        <w:pStyle w:val="Prrafodelista"/>
        <w:numPr>
          <w:ilvl w:val="0"/>
          <w:numId w:val="4"/>
        </w:numPr>
        <w:spacing w:line="240" w:lineRule="auto"/>
        <w:jc w:val="both"/>
        <w:rPr>
          <w:rFonts w:ascii="Times New Roman" w:hAnsi="Times New Roman" w:cs="Times New Roman"/>
          <w:sz w:val="21"/>
          <w:szCs w:val="21"/>
        </w:rPr>
      </w:pPr>
      <w:bookmarkStart w:id="1" w:name="_Hlk22298952"/>
      <w:r w:rsidRPr="00CD2061">
        <w:rPr>
          <w:rFonts w:ascii="Times New Roman" w:hAnsi="Times New Roman" w:cs="Times New Roman"/>
          <w:b/>
          <w:sz w:val="21"/>
          <w:szCs w:val="21"/>
        </w:rPr>
        <w:t>Las empresas deben definir un conjunto claro de prioridades y seleccionar los ODS en los que se van a centrar. Cada ODS tendrá diferente relevancia para cada empresa, en función de su sector y país de actuación</w:t>
      </w:r>
      <w:r w:rsidRPr="00CD2061">
        <w:rPr>
          <w:rFonts w:ascii="Times New Roman" w:hAnsi="Times New Roman" w:cs="Times New Roman"/>
          <w:sz w:val="21"/>
          <w:szCs w:val="21"/>
        </w:rPr>
        <w:t xml:space="preserve">. </w:t>
      </w:r>
      <w:bookmarkStart w:id="2" w:name="_Hlk22299063"/>
      <w:bookmarkEnd w:id="1"/>
      <w:r w:rsidRPr="00CD2061">
        <w:rPr>
          <w:rFonts w:ascii="Times New Roman" w:hAnsi="Times New Roman" w:cs="Times New Roman"/>
          <w:sz w:val="21"/>
          <w:szCs w:val="21"/>
        </w:rPr>
        <w:t>Esas prioridades se definen en función de los impactos positivos y negativos que ésta puede causar en los ODS, en todas sus operaciones, cadenas de valor y en las comunidades donde opera</w:t>
      </w:r>
      <w:bookmarkEnd w:id="2"/>
      <w:r w:rsidRPr="00CD2061">
        <w:rPr>
          <w:rFonts w:ascii="Times New Roman" w:hAnsi="Times New Roman" w:cs="Times New Roman"/>
          <w:sz w:val="21"/>
          <w:szCs w:val="21"/>
        </w:rPr>
        <w:t>.</w:t>
      </w:r>
    </w:p>
    <w:p w:rsidR="00237E8A" w:rsidRPr="00CD2061" w:rsidRDefault="00237E8A" w:rsidP="00237E8A">
      <w:pPr>
        <w:pStyle w:val="Prrafodelista"/>
        <w:spacing w:line="240" w:lineRule="auto"/>
        <w:rPr>
          <w:rFonts w:ascii="Times New Roman" w:hAnsi="Times New Roman" w:cs="Times New Roman"/>
          <w:sz w:val="21"/>
          <w:szCs w:val="21"/>
        </w:rPr>
      </w:pPr>
    </w:p>
    <w:p w:rsidR="00237E8A" w:rsidRPr="00CD2061" w:rsidRDefault="00237E8A" w:rsidP="00237E8A">
      <w:pPr>
        <w:spacing w:line="240" w:lineRule="auto"/>
        <w:rPr>
          <w:rFonts w:ascii="Times New Roman" w:hAnsi="Times New Roman" w:cs="Times New Roman"/>
          <w:b/>
          <w:sz w:val="21"/>
          <w:szCs w:val="21"/>
          <w:u w:val="single"/>
        </w:rPr>
      </w:pPr>
      <w:r w:rsidRPr="00CD2061">
        <w:rPr>
          <w:rFonts w:ascii="Times New Roman" w:hAnsi="Times New Roman" w:cs="Times New Roman"/>
          <w:b/>
          <w:sz w:val="21"/>
          <w:szCs w:val="21"/>
          <w:u w:val="single"/>
        </w:rPr>
        <w:t>Oportunidades de negocio:</w:t>
      </w:r>
    </w:p>
    <w:p w:rsidR="00237E8A" w:rsidRPr="00CD2061" w:rsidRDefault="00237E8A" w:rsidP="00237E8A">
      <w:pPr>
        <w:pStyle w:val="Prrafodelista"/>
        <w:spacing w:line="240" w:lineRule="auto"/>
        <w:rPr>
          <w:rFonts w:ascii="Times New Roman" w:hAnsi="Times New Roman" w:cs="Times New Roman"/>
          <w:sz w:val="21"/>
          <w:szCs w:val="21"/>
        </w:rPr>
      </w:pPr>
    </w:p>
    <w:p w:rsidR="00237E8A" w:rsidRPr="00CD2061" w:rsidRDefault="00237E8A" w:rsidP="00237E8A">
      <w:pPr>
        <w:pStyle w:val="Prrafodelista"/>
        <w:numPr>
          <w:ilvl w:val="0"/>
          <w:numId w:val="4"/>
        </w:numPr>
        <w:spacing w:line="240" w:lineRule="auto"/>
        <w:jc w:val="both"/>
        <w:rPr>
          <w:rFonts w:ascii="Times New Roman" w:hAnsi="Times New Roman" w:cs="Times New Roman"/>
          <w:sz w:val="21"/>
          <w:szCs w:val="21"/>
        </w:rPr>
      </w:pPr>
      <w:r w:rsidRPr="00CD2061">
        <w:rPr>
          <w:rFonts w:ascii="Times New Roman" w:hAnsi="Times New Roman" w:cs="Times New Roman"/>
          <w:b/>
          <w:sz w:val="21"/>
          <w:szCs w:val="21"/>
        </w:rPr>
        <w:t>Los ODS son para las pymes no solo un reto para alcanzar una gestión más sostenible, sino una oportunidad de negocio que les puede abrir las puertas de nuevos mercados y mejorar su eficiencia y reputación, lo que por ende las llevaría a conseguir mejores resultados económicos</w:t>
      </w:r>
      <w:r w:rsidRPr="00CD2061">
        <w:rPr>
          <w:rFonts w:ascii="Times New Roman" w:hAnsi="Times New Roman" w:cs="Times New Roman"/>
          <w:sz w:val="21"/>
          <w:szCs w:val="21"/>
        </w:rPr>
        <w:t>.</w:t>
      </w:r>
    </w:p>
    <w:p w:rsidR="00237E8A" w:rsidRPr="00CD2061" w:rsidRDefault="00237E8A" w:rsidP="00237E8A">
      <w:pPr>
        <w:pStyle w:val="Prrafodelista"/>
        <w:spacing w:line="240" w:lineRule="auto"/>
        <w:rPr>
          <w:rFonts w:ascii="Times New Roman" w:hAnsi="Times New Roman" w:cs="Times New Roman"/>
          <w:sz w:val="21"/>
          <w:szCs w:val="21"/>
        </w:rPr>
      </w:pPr>
    </w:p>
    <w:p w:rsidR="00237E8A" w:rsidRDefault="00237E8A" w:rsidP="005D141A">
      <w:pPr>
        <w:pStyle w:val="Prrafodelista"/>
        <w:numPr>
          <w:ilvl w:val="0"/>
          <w:numId w:val="4"/>
        </w:numPr>
        <w:spacing w:line="240" w:lineRule="auto"/>
        <w:jc w:val="both"/>
        <w:rPr>
          <w:rFonts w:ascii="Times New Roman" w:hAnsi="Times New Roman" w:cs="Times New Roman"/>
          <w:b/>
          <w:sz w:val="21"/>
          <w:szCs w:val="21"/>
        </w:rPr>
      </w:pPr>
      <w:r w:rsidRPr="00CD2061">
        <w:rPr>
          <w:rFonts w:ascii="Times New Roman" w:hAnsi="Times New Roman" w:cs="Times New Roman"/>
          <w:b/>
          <w:sz w:val="21"/>
          <w:szCs w:val="21"/>
        </w:rPr>
        <w:t>Las oportunidades de negocio que ofrecen los ODS podrían generar hasta 12 billones de dólares hasta 2030</w:t>
      </w:r>
      <w:r w:rsidRPr="00CD2061">
        <w:rPr>
          <w:rFonts w:ascii="Times New Roman" w:hAnsi="Times New Roman" w:cs="Times New Roman"/>
          <w:sz w:val="21"/>
          <w:szCs w:val="21"/>
        </w:rPr>
        <w:t xml:space="preserve">. Es por esto </w:t>
      </w:r>
      <w:proofErr w:type="gramStart"/>
      <w:r w:rsidRPr="00CD2061">
        <w:rPr>
          <w:rFonts w:ascii="Times New Roman" w:hAnsi="Times New Roman" w:cs="Times New Roman"/>
          <w:sz w:val="21"/>
          <w:szCs w:val="21"/>
        </w:rPr>
        <w:t>que</w:t>
      </w:r>
      <w:proofErr w:type="gramEnd"/>
      <w:r w:rsidRPr="00CD2061">
        <w:rPr>
          <w:rFonts w:ascii="Times New Roman" w:hAnsi="Times New Roman" w:cs="Times New Roman"/>
          <w:sz w:val="21"/>
          <w:szCs w:val="21"/>
        </w:rPr>
        <w:t xml:space="preserve"> </w:t>
      </w:r>
      <w:r w:rsidRPr="00CD2061">
        <w:rPr>
          <w:rFonts w:ascii="Times New Roman" w:hAnsi="Times New Roman" w:cs="Times New Roman"/>
          <w:b/>
          <w:sz w:val="21"/>
          <w:szCs w:val="21"/>
        </w:rPr>
        <w:t>casi 10.000 empresas de todo el mundo han firmado su compromiso con los ODS y los Diez Principios del Pacto Mundial de Naciones Unidas adhiriéndose a esta iniciativa.</w:t>
      </w:r>
    </w:p>
    <w:p w:rsidR="005D141A" w:rsidRPr="005D141A" w:rsidRDefault="005D141A" w:rsidP="005D141A">
      <w:pPr>
        <w:pStyle w:val="Prrafodelista"/>
        <w:rPr>
          <w:rFonts w:ascii="Times New Roman" w:hAnsi="Times New Roman" w:cs="Times New Roman"/>
          <w:b/>
          <w:sz w:val="21"/>
          <w:szCs w:val="21"/>
        </w:rPr>
      </w:pPr>
    </w:p>
    <w:p w:rsidR="005D141A" w:rsidRPr="005D141A" w:rsidRDefault="005D141A" w:rsidP="005D141A">
      <w:pPr>
        <w:pStyle w:val="Prrafodelista"/>
        <w:spacing w:line="240" w:lineRule="auto"/>
        <w:jc w:val="both"/>
        <w:rPr>
          <w:rFonts w:ascii="Times New Roman" w:hAnsi="Times New Roman" w:cs="Times New Roman"/>
          <w:b/>
          <w:sz w:val="21"/>
          <w:szCs w:val="21"/>
        </w:rPr>
      </w:pPr>
    </w:p>
    <w:p w:rsidR="00237E8A" w:rsidRPr="00CD2061" w:rsidRDefault="00237E8A" w:rsidP="00F44BAE">
      <w:pPr>
        <w:pStyle w:val="Prrafodelista"/>
        <w:numPr>
          <w:ilvl w:val="0"/>
          <w:numId w:val="4"/>
        </w:numPr>
        <w:spacing w:line="240" w:lineRule="auto"/>
        <w:jc w:val="both"/>
        <w:rPr>
          <w:rFonts w:ascii="Times New Roman" w:hAnsi="Times New Roman" w:cs="Times New Roman"/>
          <w:sz w:val="21"/>
          <w:szCs w:val="21"/>
        </w:rPr>
      </w:pPr>
      <w:bookmarkStart w:id="3" w:name="_Hlk22299336"/>
      <w:r w:rsidRPr="00CD2061">
        <w:rPr>
          <w:rFonts w:ascii="Times New Roman" w:hAnsi="Times New Roman" w:cs="Times New Roman"/>
          <w:b/>
          <w:sz w:val="21"/>
          <w:szCs w:val="21"/>
        </w:rPr>
        <w:t xml:space="preserve">Oportunidades que ofrece </w:t>
      </w:r>
      <w:r w:rsidR="003801F7" w:rsidRPr="00CD2061">
        <w:rPr>
          <w:rFonts w:ascii="Times New Roman" w:hAnsi="Times New Roman" w:cs="Times New Roman"/>
          <w:b/>
          <w:sz w:val="21"/>
          <w:szCs w:val="21"/>
        </w:rPr>
        <w:t xml:space="preserve">a las pymes </w:t>
      </w:r>
      <w:r w:rsidRPr="00CD2061">
        <w:rPr>
          <w:rFonts w:ascii="Times New Roman" w:hAnsi="Times New Roman" w:cs="Times New Roman"/>
          <w:b/>
          <w:sz w:val="21"/>
          <w:szCs w:val="21"/>
        </w:rPr>
        <w:t>el marco global de la Agenda 2030</w:t>
      </w:r>
      <w:bookmarkEnd w:id="3"/>
      <w:r w:rsidR="003801F7" w:rsidRPr="00CD2061">
        <w:rPr>
          <w:rFonts w:ascii="Times New Roman" w:hAnsi="Times New Roman" w:cs="Times New Roman"/>
          <w:sz w:val="21"/>
          <w:szCs w:val="21"/>
        </w:rPr>
        <w:t>:</w:t>
      </w:r>
    </w:p>
    <w:p w:rsidR="003801F7" w:rsidRPr="00CD2061" w:rsidRDefault="003801F7" w:rsidP="003801F7">
      <w:pPr>
        <w:pStyle w:val="Prrafodelista"/>
        <w:spacing w:line="240" w:lineRule="auto"/>
        <w:jc w:val="both"/>
        <w:rPr>
          <w:rFonts w:ascii="Times New Roman" w:hAnsi="Times New Roman" w:cs="Times New Roman"/>
          <w:sz w:val="21"/>
          <w:szCs w:val="21"/>
        </w:rPr>
      </w:pPr>
    </w:p>
    <w:p w:rsidR="00237E8A" w:rsidRPr="00CD2061" w:rsidRDefault="00237E8A" w:rsidP="00237E8A">
      <w:pPr>
        <w:pStyle w:val="Prrafodelista"/>
        <w:numPr>
          <w:ilvl w:val="0"/>
          <w:numId w:val="6"/>
        </w:numPr>
        <w:spacing w:line="240" w:lineRule="auto"/>
        <w:ind w:left="1418"/>
        <w:jc w:val="both"/>
        <w:rPr>
          <w:rFonts w:ascii="Times New Roman" w:hAnsi="Times New Roman" w:cs="Times New Roman"/>
          <w:sz w:val="21"/>
          <w:szCs w:val="21"/>
        </w:rPr>
      </w:pPr>
      <w:r w:rsidRPr="00CD2061">
        <w:rPr>
          <w:rFonts w:ascii="Times New Roman" w:hAnsi="Times New Roman" w:cs="Times New Roman"/>
          <w:b/>
          <w:bCs/>
          <w:sz w:val="21"/>
          <w:szCs w:val="21"/>
        </w:rPr>
        <w:t xml:space="preserve">Acceso a nuevos mercados: </w:t>
      </w:r>
      <w:r w:rsidRPr="00CD2061">
        <w:rPr>
          <w:rFonts w:ascii="Times New Roman" w:hAnsi="Times New Roman" w:cs="Times New Roman"/>
          <w:sz w:val="21"/>
          <w:szCs w:val="21"/>
        </w:rPr>
        <w:t>Contribuir a los ODS permite a la pyme acceder a nuevos segmentos de mercado que serán claves en la economía del futuro, como las nuevas tecnologías, la economía circular, los negocios inclusivos, las energías renovables o la economía ecológica.</w:t>
      </w:r>
    </w:p>
    <w:p w:rsidR="00237E8A" w:rsidRPr="00CD2061" w:rsidRDefault="00237E8A" w:rsidP="00237E8A">
      <w:pPr>
        <w:pStyle w:val="Prrafodelista"/>
        <w:numPr>
          <w:ilvl w:val="0"/>
          <w:numId w:val="6"/>
        </w:numPr>
        <w:spacing w:line="240" w:lineRule="auto"/>
        <w:ind w:left="1418"/>
        <w:jc w:val="both"/>
        <w:rPr>
          <w:rFonts w:ascii="Times New Roman" w:hAnsi="Times New Roman" w:cs="Times New Roman"/>
          <w:sz w:val="21"/>
          <w:szCs w:val="21"/>
        </w:rPr>
      </w:pPr>
      <w:r w:rsidRPr="00CD2061">
        <w:rPr>
          <w:rFonts w:ascii="Times New Roman" w:hAnsi="Times New Roman" w:cs="Times New Roman"/>
          <w:b/>
          <w:bCs/>
          <w:sz w:val="21"/>
          <w:szCs w:val="21"/>
        </w:rPr>
        <w:t xml:space="preserve">Ahorro en costes: </w:t>
      </w:r>
      <w:r w:rsidRPr="00CD2061">
        <w:rPr>
          <w:rFonts w:ascii="Times New Roman" w:hAnsi="Times New Roman" w:cs="Times New Roman"/>
          <w:sz w:val="21"/>
          <w:szCs w:val="21"/>
        </w:rPr>
        <w:t>el 67% de las empresas implanta con este objetivo acciones de sostenibilidad que inciden en el ahorro energético y de agua, prácticas que pueden realizarse tanto en los procesos de fabricación como en las oficinas.</w:t>
      </w:r>
    </w:p>
    <w:p w:rsidR="00237E8A" w:rsidRPr="00CD2061" w:rsidRDefault="00237E8A" w:rsidP="00237E8A">
      <w:pPr>
        <w:pStyle w:val="Prrafodelista"/>
        <w:numPr>
          <w:ilvl w:val="0"/>
          <w:numId w:val="6"/>
        </w:numPr>
        <w:spacing w:line="240" w:lineRule="auto"/>
        <w:ind w:left="1418"/>
        <w:jc w:val="both"/>
        <w:rPr>
          <w:rFonts w:ascii="Times New Roman" w:hAnsi="Times New Roman" w:cs="Times New Roman"/>
          <w:sz w:val="21"/>
          <w:szCs w:val="21"/>
        </w:rPr>
      </w:pPr>
      <w:r w:rsidRPr="00CD2061">
        <w:rPr>
          <w:rFonts w:ascii="Times New Roman" w:hAnsi="Times New Roman" w:cs="Times New Roman"/>
          <w:b/>
          <w:bCs/>
          <w:sz w:val="21"/>
          <w:szCs w:val="21"/>
        </w:rPr>
        <w:t>Generación de alianzas con otros actores y negocio con grandes empresas:</w:t>
      </w:r>
      <w:r w:rsidRPr="00CD2061">
        <w:rPr>
          <w:rFonts w:ascii="Times New Roman" w:hAnsi="Times New Roman" w:cs="Times New Roman"/>
          <w:sz w:val="21"/>
          <w:szCs w:val="21"/>
        </w:rPr>
        <w:t xml:space="preserve"> Un beneficio adicional de contribuir a la Agenda 2030 es el de establecer alianzas con otros actores, en especial, con las grandes empresas. Éstas están apostando firmemente por la sostenibilidad, situándola en el núcleo de sus modelos de negocio. Según un análisis de la Red Española del Pacto Mundial, el 66% de las empresas del IBEX 35 ya evalúan a sus proveedores bajo criterios sociales y el 71% lo hace en base a criterios ambientales.</w:t>
      </w:r>
    </w:p>
    <w:p w:rsidR="00237E8A" w:rsidRPr="00CD2061" w:rsidRDefault="00237E8A" w:rsidP="00237E8A">
      <w:pPr>
        <w:pStyle w:val="Prrafodelista"/>
        <w:numPr>
          <w:ilvl w:val="0"/>
          <w:numId w:val="6"/>
        </w:numPr>
        <w:spacing w:line="240" w:lineRule="auto"/>
        <w:ind w:left="1418"/>
        <w:jc w:val="both"/>
        <w:rPr>
          <w:rFonts w:ascii="Times New Roman" w:hAnsi="Times New Roman" w:cs="Times New Roman"/>
          <w:sz w:val="21"/>
          <w:szCs w:val="21"/>
        </w:rPr>
      </w:pPr>
      <w:r w:rsidRPr="00CD2061">
        <w:rPr>
          <w:rFonts w:ascii="Times New Roman" w:hAnsi="Times New Roman" w:cs="Times New Roman"/>
          <w:b/>
          <w:bCs/>
          <w:sz w:val="21"/>
          <w:szCs w:val="21"/>
        </w:rPr>
        <w:t xml:space="preserve">Más facilidades para contratar con el sector público: </w:t>
      </w:r>
      <w:r w:rsidRPr="00CD2061">
        <w:rPr>
          <w:rFonts w:ascii="Times New Roman" w:hAnsi="Times New Roman" w:cs="Times New Roman"/>
          <w:sz w:val="21"/>
          <w:szCs w:val="21"/>
        </w:rPr>
        <w:t>La Ley 9/2017, de 8 de noviembre, de Contratos del Sector Público, incluye aspectos medioambientales o sociales como criterios para la adjudicación de contratos a las empresas con la administración pública.</w:t>
      </w:r>
    </w:p>
    <w:p w:rsidR="00237E8A" w:rsidRPr="00CD2061" w:rsidRDefault="00237E8A" w:rsidP="00237E8A">
      <w:pPr>
        <w:pStyle w:val="Prrafodelista"/>
        <w:numPr>
          <w:ilvl w:val="0"/>
          <w:numId w:val="6"/>
        </w:numPr>
        <w:spacing w:line="240" w:lineRule="auto"/>
        <w:ind w:left="1418"/>
        <w:jc w:val="both"/>
        <w:rPr>
          <w:rFonts w:ascii="Times New Roman" w:hAnsi="Times New Roman" w:cs="Times New Roman"/>
          <w:sz w:val="21"/>
          <w:szCs w:val="21"/>
        </w:rPr>
      </w:pPr>
      <w:r w:rsidRPr="00CD2061">
        <w:rPr>
          <w:rFonts w:ascii="Times New Roman" w:hAnsi="Times New Roman" w:cs="Times New Roman"/>
          <w:b/>
          <w:bCs/>
          <w:sz w:val="21"/>
          <w:szCs w:val="21"/>
        </w:rPr>
        <w:t xml:space="preserve">Mejora de la reputación y aumento de la confianza en la marca: </w:t>
      </w:r>
      <w:r w:rsidRPr="00CD2061">
        <w:rPr>
          <w:rFonts w:ascii="Times New Roman" w:hAnsi="Times New Roman" w:cs="Times New Roman"/>
          <w:bCs/>
          <w:sz w:val="21"/>
          <w:szCs w:val="21"/>
        </w:rPr>
        <w:t>E</w:t>
      </w:r>
      <w:r w:rsidRPr="00CD2061">
        <w:rPr>
          <w:rFonts w:ascii="Times New Roman" w:hAnsi="Times New Roman" w:cs="Times New Roman"/>
          <w:sz w:val="21"/>
          <w:szCs w:val="21"/>
        </w:rPr>
        <w:t>l 64% de los consumidores españoles tiene en cuenta en sus compras casi siempre o a veces la sostenibilidad, es decir, los posibles impactos sociales o ambientales negativos de los productos y servicios que compra. Por ello, el tener una estrategia basada en la Agenda 2030 podría incrementar la confianza en la marca y aumentar las ventas.</w:t>
      </w:r>
    </w:p>
    <w:p w:rsidR="00237E8A" w:rsidRPr="00CD2061" w:rsidRDefault="00237E8A" w:rsidP="00237E8A">
      <w:pPr>
        <w:pStyle w:val="Prrafodelista"/>
        <w:numPr>
          <w:ilvl w:val="0"/>
          <w:numId w:val="6"/>
        </w:numPr>
        <w:spacing w:line="240" w:lineRule="auto"/>
        <w:ind w:left="1418"/>
        <w:jc w:val="both"/>
        <w:rPr>
          <w:rFonts w:ascii="Times New Roman" w:hAnsi="Times New Roman" w:cs="Times New Roman"/>
          <w:sz w:val="21"/>
          <w:szCs w:val="21"/>
        </w:rPr>
      </w:pPr>
      <w:r w:rsidRPr="00CD2061">
        <w:rPr>
          <w:rFonts w:ascii="Times New Roman" w:hAnsi="Times New Roman" w:cs="Times New Roman"/>
          <w:b/>
          <w:bCs/>
          <w:sz w:val="21"/>
          <w:szCs w:val="21"/>
        </w:rPr>
        <w:t xml:space="preserve">Adelantarse a normativas: </w:t>
      </w:r>
      <w:r w:rsidRPr="00CD2061">
        <w:rPr>
          <w:rFonts w:ascii="Times New Roman" w:hAnsi="Times New Roman" w:cs="Times New Roman"/>
          <w:sz w:val="21"/>
          <w:szCs w:val="21"/>
        </w:rPr>
        <w:t>Se espera que en los próximos años se produzca un aumento de estrategias y normativas en materia de sostenibilidad. Las empresas que integren los ODS en su modelo de negocio encontrarán más fácil su adaptación a las nuevas normativas.</w:t>
      </w:r>
    </w:p>
    <w:p w:rsidR="00237E8A" w:rsidRPr="00CD2061" w:rsidRDefault="00237E8A" w:rsidP="00237E8A">
      <w:pPr>
        <w:pStyle w:val="Prrafodelista"/>
        <w:spacing w:line="240" w:lineRule="auto"/>
        <w:ind w:left="1418"/>
        <w:jc w:val="both"/>
        <w:rPr>
          <w:rFonts w:ascii="Times New Roman" w:hAnsi="Times New Roman" w:cs="Times New Roman"/>
          <w:sz w:val="21"/>
          <w:szCs w:val="21"/>
        </w:rPr>
      </w:pPr>
    </w:p>
    <w:p w:rsidR="00237E8A" w:rsidRPr="00CD2061" w:rsidRDefault="00237E8A" w:rsidP="00237E8A">
      <w:pPr>
        <w:spacing w:line="240" w:lineRule="auto"/>
        <w:rPr>
          <w:rFonts w:ascii="Times New Roman" w:hAnsi="Times New Roman" w:cs="Times New Roman"/>
          <w:b/>
          <w:sz w:val="21"/>
          <w:szCs w:val="21"/>
          <w:u w:val="single"/>
        </w:rPr>
      </w:pPr>
      <w:r w:rsidRPr="00CD2061">
        <w:rPr>
          <w:rFonts w:ascii="Times New Roman" w:hAnsi="Times New Roman" w:cs="Times New Roman"/>
          <w:b/>
          <w:sz w:val="21"/>
          <w:szCs w:val="21"/>
          <w:u w:val="single"/>
        </w:rPr>
        <w:t xml:space="preserve">Tendencias: </w:t>
      </w:r>
    </w:p>
    <w:p w:rsidR="00237E8A" w:rsidRPr="00CD2061" w:rsidRDefault="00237E8A" w:rsidP="00237E8A">
      <w:pPr>
        <w:pStyle w:val="Prrafodelista"/>
        <w:spacing w:line="240" w:lineRule="auto"/>
        <w:ind w:left="1440"/>
        <w:jc w:val="both"/>
        <w:rPr>
          <w:rFonts w:ascii="Times New Roman" w:hAnsi="Times New Roman" w:cs="Times New Roman"/>
          <w:sz w:val="21"/>
          <w:szCs w:val="21"/>
        </w:rPr>
      </w:pPr>
    </w:p>
    <w:p w:rsidR="00237E8A" w:rsidRPr="00CD2061" w:rsidRDefault="00237E8A" w:rsidP="00237E8A">
      <w:pPr>
        <w:pStyle w:val="Prrafodelista"/>
        <w:numPr>
          <w:ilvl w:val="0"/>
          <w:numId w:val="4"/>
        </w:numPr>
        <w:spacing w:line="240" w:lineRule="auto"/>
        <w:jc w:val="both"/>
        <w:rPr>
          <w:rFonts w:ascii="Times New Roman" w:hAnsi="Times New Roman" w:cs="Times New Roman"/>
          <w:sz w:val="21"/>
          <w:szCs w:val="21"/>
        </w:rPr>
      </w:pPr>
      <w:r w:rsidRPr="00CD2061">
        <w:rPr>
          <w:rFonts w:ascii="Times New Roman" w:hAnsi="Times New Roman" w:cs="Times New Roman"/>
          <w:b/>
          <w:sz w:val="21"/>
          <w:szCs w:val="21"/>
        </w:rPr>
        <w:t>Existen muchas tendencias actuales relacionadas con la Agenda 2030 en las cuales las pymes pueden invertir y que además pueden suponer importantes oportunidades de negocio</w:t>
      </w:r>
      <w:r w:rsidRPr="00CD2061">
        <w:rPr>
          <w:rFonts w:ascii="Times New Roman" w:hAnsi="Times New Roman" w:cs="Times New Roman"/>
          <w:sz w:val="21"/>
          <w:szCs w:val="21"/>
        </w:rPr>
        <w:t xml:space="preserve">. Entre las más relevantes están: </w:t>
      </w:r>
    </w:p>
    <w:p w:rsidR="00237E8A" w:rsidRPr="00CD2061" w:rsidRDefault="00237E8A" w:rsidP="00237E8A">
      <w:pPr>
        <w:pStyle w:val="Prrafodelista"/>
        <w:spacing w:line="240" w:lineRule="auto"/>
        <w:rPr>
          <w:rFonts w:ascii="Times New Roman" w:hAnsi="Times New Roman" w:cs="Times New Roman"/>
          <w:sz w:val="21"/>
          <w:szCs w:val="21"/>
        </w:rPr>
      </w:pPr>
    </w:p>
    <w:p w:rsidR="00237E8A" w:rsidRPr="00CD2061" w:rsidRDefault="00237E8A" w:rsidP="00237E8A">
      <w:pPr>
        <w:pStyle w:val="Prrafodelista"/>
        <w:numPr>
          <w:ilvl w:val="0"/>
          <w:numId w:val="6"/>
        </w:numPr>
        <w:spacing w:line="240" w:lineRule="auto"/>
        <w:ind w:left="1418"/>
        <w:jc w:val="both"/>
        <w:rPr>
          <w:rFonts w:ascii="Times New Roman" w:hAnsi="Times New Roman" w:cs="Times New Roman"/>
          <w:sz w:val="21"/>
          <w:szCs w:val="21"/>
        </w:rPr>
      </w:pPr>
      <w:r w:rsidRPr="00CD2061">
        <w:rPr>
          <w:rFonts w:ascii="Times New Roman" w:hAnsi="Times New Roman" w:cs="Times New Roman"/>
          <w:b/>
          <w:bCs/>
          <w:sz w:val="21"/>
          <w:szCs w:val="21"/>
        </w:rPr>
        <w:t>Salud de los empleados (ODS 3)</w:t>
      </w:r>
      <w:r w:rsidRPr="00CD2061">
        <w:rPr>
          <w:rFonts w:ascii="Times New Roman" w:hAnsi="Times New Roman" w:cs="Times New Roman"/>
          <w:sz w:val="21"/>
          <w:szCs w:val="21"/>
        </w:rPr>
        <w:t xml:space="preserve">: </w:t>
      </w:r>
      <w:bookmarkStart w:id="4" w:name="_Hlk22303080"/>
      <w:r w:rsidRPr="00CD2061">
        <w:rPr>
          <w:rFonts w:ascii="Times New Roman" w:hAnsi="Times New Roman" w:cs="Times New Roman"/>
          <w:sz w:val="21"/>
          <w:szCs w:val="21"/>
        </w:rPr>
        <w:t xml:space="preserve">Implementar medidas que incidan en la salud y el bienestar de los empleados </w:t>
      </w:r>
      <w:bookmarkEnd w:id="4"/>
      <w:r w:rsidRPr="00CD2061">
        <w:rPr>
          <w:rFonts w:ascii="Times New Roman" w:hAnsi="Times New Roman" w:cs="Times New Roman"/>
          <w:sz w:val="21"/>
          <w:szCs w:val="21"/>
        </w:rPr>
        <w:t>puede suponer aumentar su motivación</w:t>
      </w:r>
      <w:r w:rsidRPr="00CD2061">
        <w:rPr>
          <w:rFonts w:ascii="Times New Roman" w:hAnsi="Times New Roman" w:cs="Times New Roman"/>
          <w:color w:val="FF0000"/>
          <w:sz w:val="21"/>
          <w:szCs w:val="21"/>
        </w:rPr>
        <w:t xml:space="preserve"> </w:t>
      </w:r>
      <w:r w:rsidRPr="00CD2061">
        <w:rPr>
          <w:rFonts w:ascii="Times New Roman" w:hAnsi="Times New Roman" w:cs="Times New Roman"/>
          <w:sz w:val="21"/>
          <w:szCs w:val="21"/>
        </w:rPr>
        <w:t>y su compromiso con la organización y, por tanto, también su productividad.</w:t>
      </w:r>
    </w:p>
    <w:p w:rsidR="00237E8A" w:rsidRPr="00CD2061" w:rsidRDefault="00237E8A" w:rsidP="00237E8A">
      <w:pPr>
        <w:pStyle w:val="Prrafodelista"/>
        <w:numPr>
          <w:ilvl w:val="0"/>
          <w:numId w:val="6"/>
        </w:numPr>
        <w:spacing w:line="240" w:lineRule="auto"/>
        <w:ind w:left="1418"/>
        <w:jc w:val="both"/>
        <w:rPr>
          <w:rFonts w:ascii="Times New Roman" w:hAnsi="Times New Roman" w:cs="Times New Roman"/>
          <w:sz w:val="21"/>
          <w:szCs w:val="21"/>
        </w:rPr>
      </w:pPr>
      <w:r w:rsidRPr="00CD2061">
        <w:rPr>
          <w:rFonts w:ascii="Times New Roman" w:hAnsi="Times New Roman" w:cs="Times New Roman"/>
          <w:b/>
          <w:sz w:val="21"/>
          <w:szCs w:val="21"/>
        </w:rPr>
        <w:t>Energías renovables (ODS 7)</w:t>
      </w:r>
      <w:r w:rsidRPr="00CD2061">
        <w:rPr>
          <w:rFonts w:ascii="Times New Roman" w:hAnsi="Times New Roman" w:cs="Times New Roman"/>
          <w:sz w:val="21"/>
          <w:szCs w:val="21"/>
        </w:rPr>
        <w:t>: La Unión Europea pretende que, en 2030 el 32% de la energía consumida en toda la unión, sea de origen renovable. Teniendo en cuenta esta meta, las pymes podrían comenzar su adaptación al futuro del mercado a través de incrementar el uso de energías renovables en sus actividades o innovar con nuevos productos y servicios que utilicen o ayuden a impulsar el uso de estas energías.</w:t>
      </w:r>
    </w:p>
    <w:p w:rsidR="00237E8A" w:rsidRPr="00CD2061" w:rsidRDefault="00237E8A" w:rsidP="00237E8A">
      <w:pPr>
        <w:pStyle w:val="Prrafodelista"/>
        <w:numPr>
          <w:ilvl w:val="0"/>
          <w:numId w:val="6"/>
        </w:numPr>
        <w:spacing w:line="240" w:lineRule="auto"/>
        <w:ind w:left="1418"/>
        <w:jc w:val="both"/>
        <w:rPr>
          <w:rFonts w:ascii="Times New Roman" w:hAnsi="Times New Roman" w:cs="Times New Roman"/>
          <w:sz w:val="21"/>
          <w:szCs w:val="21"/>
        </w:rPr>
      </w:pPr>
      <w:r w:rsidRPr="00CD2061">
        <w:rPr>
          <w:rFonts w:ascii="Times New Roman" w:hAnsi="Times New Roman" w:cs="Times New Roman"/>
          <w:b/>
          <w:sz w:val="21"/>
          <w:szCs w:val="21"/>
        </w:rPr>
        <w:t>Digitalización (ODS 9):</w:t>
      </w:r>
      <w:r w:rsidRPr="00CD2061">
        <w:rPr>
          <w:rFonts w:ascii="Times New Roman" w:hAnsi="Times New Roman" w:cs="Times New Roman"/>
          <w:sz w:val="21"/>
          <w:szCs w:val="21"/>
        </w:rPr>
        <w:t xml:space="preserve"> </w:t>
      </w:r>
      <w:bookmarkStart w:id="5" w:name="_Hlk22544528"/>
      <w:r w:rsidRPr="00CD2061">
        <w:rPr>
          <w:rFonts w:ascii="Times New Roman" w:hAnsi="Times New Roman" w:cs="Times New Roman"/>
          <w:sz w:val="21"/>
          <w:szCs w:val="21"/>
        </w:rPr>
        <w:t>Internet y las redes sociales son claves para el futuro de los mercados</w:t>
      </w:r>
      <w:bookmarkEnd w:id="5"/>
      <w:r w:rsidRPr="00CD2061">
        <w:rPr>
          <w:rFonts w:ascii="Times New Roman" w:hAnsi="Times New Roman" w:cs="Times New Roman"/>
          <w:sz w:val="21"/>
          <w:szCs w:val="21"/>
        </w:rPr>
        <w:t>. El 63% de los españoles ha realizado compras online desde el móvil en 2018 y el 67% de los consumidores españoles se basa en las recomendaciones en redes sociales de otros usuarios en internet a la hora de comprar. Las pymes han de aprovechar esta tendencia para lanzarse al mundo digital y sacar el máximo partido a esta nueva forma de hacer negocios.</w:t>
      </w:r>
    </w:p>
    <w:p w:rsidR="00237E8A" w:rsidRPr="00CD2061" w:rsidRDefault="00237E8A" w:rsidP="00237E8A">
      <w:pPr>
        <w:pStyle w:val="Prrafodelista"/>
        <w:numPr>
          <w:ilvl w:val="0"/>
          <w:numId w:val="6"/>
        </w:numPr>
        <w:spacing w:line="240" w:lineRule="auto"/>
        <w:ind w:left="1418"/>
        <w:jc w:val="both"/>
        <w:rPr>
          <w:rFonts w:ascii="Times New Roman" w:hAnsi="Times New Roman" w:cs="Times New Roman"/>
          <w:sz w:val="21"/>
          <w:szCs w:val="21"/>
        </w:rPr>
      </w:pPr>
      <w:r w:rsidRPr="00CD2061">
        <w:rPr>
          <w:rFonts w:ascii="Times New Roman" w:hAnsi="Times New Roman" w:cs="Times New Roman"/>
          <w:b/>
          <w:sz w:val="21"/>
          <w:szCs w:val="21"/>
        </w:rPr>
        <w:t>Reutilización y reciclaje (ODS 12):</w:t>
      </w:r>
      <w:r w:rsidRPr="00CD2061">
        <w:rPr>
          <w:rFonts w:ascii="Times New Roman" w:hAnsi="Times New Roman" w:cs="Times New Roman"/>
          <w:sz w:val="21"/>
          <w:szCs w:val="21"/>
        </w:rPr>
        <w:t xml:space="preserve"> En España ya se recicla el 77,1% de los envases de plástico, latas y briks y los envases de papel y cartón. Las pequeñas y medianas empresas pueden impulsar la reutilización y el reciclaje de materiales como papel, plásticos o envases a nivel interno para ahorrar recursos y también crear productos y servicios basados en </w:t>
      </w:r>
      <w:r w:rsidRPr="00CD2061">
        <w:rPr>
          <w:rFonts w:ascii="Times New Roman" w:hAnsi="Times New Roman" w:cs="Times New Roman"/>
          <w:sz w:val="21"/>
          <w:szCs w:val="21"/>
        </w:rPr>
        <w:lastRenderedPageBreak/>
        <w:t>materiales reutilizados y reciclados que satisfagan a los consumidores que buscan productos más sostenibles.</w:t>
      </w:r>
    </w:p>
    <w:p w:rsidR="00237E8A" w:rsidRPr="00CD2061" w:rsidRDefault="00237E8A" w:rsidP="00237E8A">
      <w:pPr>
        <w:pStyle w:val="Prrafodelista"/>
        <w:numPr>
          <w:ilvl w:val="0"/>
          <w:numId w:val="6"/>
        </w:numPr>
        <w:spacing w:line="240" w:lineRule="auto"/>
        <w:ind w:left="1418"/>
        <w:jc w:val="both"/>
        <w:rPr>
          <w:rFonts w:ascii="Times New Roman" w:hAnsi="Times New Roman" w:cs="Times New Roman"/>
          <w:sz w:val="21"/>
          <w:szCs w:val="21"/>
        </w:rPr>
      </w:pPr>
      <w:r w:rsidRPr="00CD2061">
        <w:rPr>
          <w:rFonts w:ascii="Times New Roman" w:hAnsi="Times New Roman" w:cs="Times New Roman"/>
          <w:b/>
          <w:sz w:val="21"/>
          <w:szCs w:val="21"/>
        </w:rPr>
        <w:t>Transparencia (ODS 16):</w:t>
      </w:r>
      <w:r w:rsidRPr="00CD2061">
        <w:rPr>
          <w:rFonts w:ascii="Times New Roman" w:hAnsi="Times New Roman" w:cs="Times New Roman"/>
          <w:sz w:val="21"/>
          <w:szCs w:val="21"/>
        </w:rPr>
        <w:t xml:space="preserve"> Cada vez se reconoce más el valor de la divulgación de información sobre sostenibilidad por parte de las empresas; la transparencia se está convirtiendo rápidamente en un nuevo paradigma para hacer negocios. De las 250 compañías más grandes del mundo, más del 90% de ellas informan sobre su desempeño en sostenibilidad y el Pacto Mundial de las Naciones Unidas ha pasado de 44 empresas adheridas en el año 2000, a más de 9.900 en 145 países. Esta tendencia confluye con los nuevos requisitos que emanan de la Ley de Información no Financiera que, si bien son obligatorios para empresas de determinado tamaño y volumen de negocio, pueden hacerse extensivas a todas las pymes de forma voluntaria.</w:t>
      </w:r>
    </w:p>
    <w:p w:rsidR="008A0B42" w:rsidRPr="00CD2061" w:rsidRDefault="008A0B42" w:rsidP="008A0B42">
      <w:pPr>
        <w:pStyle w:val="Prrafodelista"/>
        <w:spacing w:line="240" w:lineRule="auto"/>
        <w:ind w:left="1418"/>
        <w:jc w:val="both"/>
        <w:rPr>
          <w:rFonts w:ascii="Times New Roman" w:hAnsi="Times New Roman" w:cs="Times New Roman"/>
          <w:sz w:val="21"/>
          <w:szCs w:val="21"/>
        </w:rPr>
      </w:pPr>
    </w:p>
    <w:p w:rsidR="008A0B42" w:rsidRPr="00CD2061" w:rsidRDefault="008A0B42" w:rsidP="008A0B42">
      <w:pPr>
        <w:spacing w:line="240" w:lineRule="auto"/>
        <w:rPr>
          <w:rFonts w:ascii="Times New Roman" w:hAnsi="Times New Roman" w:cs="Times New Roman"/>
          <w:b/>
          <w:sz w:val="21"/>
          <w:szCs w:val="21"/>
          <w:u w:val="single"/>
        </w:rPr>
      </w:pPr>
      <w:r w:rsidRPr="00CD2061">
        <w:rPr>
          <w:rFonts w:ascii="Times New Roman" w:hAnsi="Times New Roman" w:cs="Times New Roman"/>
          <w:b/>
          <w:sz w:val="21"/>
          <w:szCs w:val="21"/>
          <w:u w:val="single"/>
        </w:rPr>
        <w:t xml:space="preserve">Sectores empresariales: </w:t>
      </w:r>
    </w:p>
    <w:p w:rsidR="00237E8A" w:rsidRPr="00CD2061" w:rsidRDefault="00237E8A" w:rsidP="00AD66E2">
      <w:pPr>
        <w:pStyle w:val="Prrafodelista"/>
        <w:numPr>
          <w:ilvl w:val="0"/>
          <w:numId w:val="4"/>
        </w:numPr>
        <w:spacing w:line="240" w:lineRule="auto"/>
        <w:jc w:val="both"/>
        <w:rPr>
          <w:rFonts w:ascii="Times New Roman" w:hAnsi="Times New Roman" w:cs="Times New Roman"/>
          <w:sz w:val="21"/>
          <w:szCs w:val="21"/>
        </w:rPr>
      </w:pPr>
      <w:r w:rsidRPr="00CD2061">
        <w:rPr>
          <w:rFonts w:ascii="Times New Roman" w:hAnsi="Times New Roman" w:cs="Times New Roman"/>
          <w:sz w:val="21"/>
          <w:szCs w:val="21"/>
        </w:rPr>
        <w:t>Los 10 sectores empresariales que ofrecen mayores oportunidades de negocio en relación con los ODS son:</w:t>
      </w:r>
      <w:r w:rsidR="008A0B42" w:rsidRPr="00CD2061">
        <w:rPr>
          <w:rFonts w:ascii="Times New Roman" w:hAnsi="Times New Roman" w:cs="Times New Roman"/>
          <w:sz w:val="21"/>
          <w:szCs w:val="21"/>
        </w:rPr>
        <w:t xml:space="preserve"> </w:t>
      </w:r>
      <w:r w:rsidRPr="00CD2061">
        <w:rPr>
          <w:rFonts w:ascii="Times New Roman" w:hAnsi="Times New Roman" w:cs="Times New Roman"/>
          <w:sz w:val="21"/>
          <w:szCs w:val="21"/>
        </w:rPr>
        <w:t>Industria del petróleo y el gas</w:t>
      </w:r>
      <w:r w:rsidR="00AD66E2" w:rsidRPr="00CD2061">
        <w:rPr>
          <w:rFonts w:ascii="Times New Roman" w:hAnsi="Times New Roman" w:cs="Times New Roman"/>
          <w:sz w:val="21"/>
          <w:szCs w:val="21"/>
        </w:rPr>
        <w:t xml:space="preserve">; </w:t>
      </w:r>
      <w:r w:rsidR="008A0B42" w:rsidRPr="00CD2061">
        <w:rPr>
          <w:rFonts w:ascii="Times New Roman" w:hAnsi="Times New Roman" w:cs="Times New Roman"/>
          <w:sz w:val="21"/>
          <w:szCs w:val="21"/>
        </w:rPr>
        <w:t>m</w:t>
      </w:r>
      <w:r w:rsidRPr="00CD2061">
        <w:rPr>
          <w:rFonts w:ascii="Times New Roman" w:hAnsi="Times New Roman" w:cs="Times New Roman"/>
          <w:sz w:val="21"/>
          <w:szCs w:val="21"/>
        </w:rPr>
        <w:t>ateriales básicos</w:t>
      </w:r>
      <w:r w:rsidR="00AD66E2" w:rsidRPr="00CD2061">
        <w:rPr>
          <w:rFonts w:ascii="Times New Roman" w:hAnsi="Times New Roman" w:cs="Times New Roman"/>
          <w:sz w:val="21"/>
          <w:szCs w:val="21"/>
        </w:rPr>
        <w:t xml:space="preserve">; </w:t>
      </w:r>
      <w:r w:rsidR="008A0B42" w:rsidRPr="00CD2061">
        <w:rPr>
          <w:rFonts w:ascii="Times New Roman" w:hAnsi="Times New Roman" w:cs="Times New Roman"/>
          <w:sz w:val="21"/>
          <w:szCs w:val="21"/>
        </w:rPr>
        <w:t>i</w:t>
      </w:r>
      <w:r w:rsidRPr="00CD2061">
        <w:rPr>
          <w:rFonts w:ascii="Times New Roman" w:hAnsi="Times New Roman" w:cs="Times New Roman"/>
          <w:sz w:val="21"/>
          <w:szCs w:val="21"/>
        </w:rPr>
        <w:t>ndustrias</w:t>
      </w:r>
      <w:r w:rsidR="00AD66E2" w:rsidRPr="00CD2061">
        <w:rPr>
          <w:rFonts w:ascii="Times New Roman" w:hAnsi="Times New Roman" w:cs="Times New Roman"/>
          <w:sz w:val="21"/>
          <w:szCs w:val="21"/>
        </w:rPr>
        <w:t xml:space="preserve">; </w:t>
      </w:r>
      <w:r w:rsidR="008A0B42" w:rsidRPr="00CD2061">
        <w:rPr>
          <w:rFonts w:ascii="Times New Roman" w:hAnsi="Times New Roman" w:cs="Times New Roman"/>
          <w:sz w:val="21"/>
          <w:szCs w:val="21"/>
        </w:rPr>
        <w:t>b</w:t>
      </w:r>
      <w:r w:rsidRPr="00CD2061">
        <w:rPr>
          <w:rFonts w:ascii="Times New Roman" w:hAnsi="Times New Roman" w:cs="Times New Roman"/>
          <w:sz w:val="21"/>
          <w:szCs w:val="21"/>
        </w:rPr>
        <w:t>ienes de consumo</w:t>
      </w:r>
      <w:r w:rsidR="00AD66E2" w:rsidRPr="00CD2061">
        <w:rPr>
          <w:rFonts w:ascii="Times New Roman" w:hAnsi="Times New Roman" w:cs="Times New Roman"/>
          <w:sz w:val="21"/>
          <w:szCs w:val="21"/>
        </w:rPr>
        <w:t xml:space="preserve">; </w:t>
      </w:r>
      <w:r w:rsidR="008A0B42" w:rsidRPr="00CD2061">
        <w:rPr>
          <w:rFonts w:ascii="Times New Roman" w:hAnsi="Times New Roman" w:cs="Times New Roman"/>
          <w:sz w:val="21"/>
          <w:szCs w:val="21"/>
        </w:rPr>
        <w:t>s</w:t>
      </w:r>
      <w:r w:rsidRPr="00CD2061">
        <w:rPr>
          <w:rFonts w:ascii="Times New Roman" w:hAnsi="Times New Roman" w:cs="Times New Roman"/>
          <w:sz w:val="21"/>
          <w:szCs w:val="21"/>
        </w:rPr>
        <w:t>alud y bienestar</w:t>
      </w:r>
      <w:r w:rsidR="00AD66E2" w:rsidRPr="00CD2061">
        <w:rPr>
          <w:rFonts w:ascii="Times New Roman" w:hAnsi="Times New Roman" w:cs="Times New Roman"/>
          <w:sz w:val="21"/>
          <w:szCs w:val="21"/>
        </w:rPr>
        <w:t xml:space="preserve">; </w:t>
      </w:r>
      <w:r w:rsidR="008A0B42" w:rsidRPr="00CD2061">
        <w:rPr>
          <w:rFonts w:ascii="Times New Roman" w:hAnsi="Times New Roman" w:cs="Times New Roman"/>
          <w:sz w:val="21"/>
          <w:szCs w:val="21"/>
        </w:rPr>
        <w:t>s</w:t>
      </w:r>
      <w:r w:rsidRPr="00CD2061">
        <w:rPr>
          <w:rFonts w:ascii="Times New Roman" w:hAnsi="Times New Roman" w:cs="Times New Roman"/>
          <w:sz w:val="21"/>
          <w:szCs w:val="21"/>
        </w:rPr>
        <w:t>ervicios de consumo</w:t>
      </w:r>
      <w:r w:rsidR="00AD66E2" w:rsidRPr="00CD2061">
        <w:rPr>
          <w:rFonts w:ascii="Times New Roman" w:hAnsi="Times New Roman" w:cs="Times New Roman"/>
          <w:sz w:val="21"/>
          <w:szCs w:val="21"/>
        </w:rPr>
        <w:t xml:space="preserve">; </w:t>
      </w:r>
      <w:r w:rsidR="008A0B42" w:rsidRPr="00CD2061">
        <w:rPr>
          <w:rFonts w:ascii="Times New Roman" w:hAnsi="Times New Roman" w:cs="Times New Roman"/>
          <w:sz w:val="21"/>
          <w:szCs w:val="21"/>
        </w:rPr>
        <w:t>t</w:t>
      </w:r>
      <w:r w:rsidRPr="00CD2061">
        <w:rPr>
          <w:rFonts w:ascii="Times New Roman" w:hAnsi="Times New Roman" w:cs="Times New Roman"/>
          <w:sz w:val="21"/>
          <w:szCs w:val="21"/>
        </w:rPr>
        <w:t>ecnología</w:t>
      </w:r>
      <w:r w:rsidR="00AD66E2" w:rsidRPr="00CD2061">
        <w:rPr>
          <w:rFonts w:ascii="Times New Roman" w:hAnsi="Times New Roman" w:cs="Times New Roman"/>
          <w:sz w:val="21"/>
          <w:szCs w:val="21"/>
        </w:rPr>
        <w:t xml:space="preserve">; </w:t>
      </w:r>
      <w:r w:rsidR="008A0B42" w:rsidRPr="00CD2061">
        <w:rPr>
          <w:rFonts w:ascii="Times New Roman" w:hAnsi="Times New Roman" w:cs="Times New Roman"/>
          <w:sz w:val="21"/>
          <w:szCs w:val="21"/>
        </w:rPr>
        <w:t>t</w:t>
      </w:r>
      <w:r w:rsidRPr="00CD2061">
        <w:rPr>
          <w:rFonts w:ascii="Times New Roman" w:hAnsi="Times New Roman" w:cs="Times New Roman"/>
          <w:sz w:val="21"/>
          <w:szCs w:val="21"/>
        </w:rPr>
        <w:t>elecomunicaciones</w:t>
      </w:r>
      <w:r w:rsidR="00AD66E2" w:rsidRPr="00CD2061">
        <w:rPr>
          <w:rFonts w:ascii="Times New Roman" w:hAnsi="Times New Roman" w:cs="Times New Roman"/>
          <w:sz w:val="21"/>
          <w:szCs w:val="21"/>
        </w:rPr>
        <w:t xml:space="preserve">; </w:t>
      </w:r>
      <w:r w:rsidR="008A0B42" w:rsidRPr="00CD2061">
        <w:rPr>
          <w:rFonts w:ascii="Times New Roman" w:hAnsi="Times New Roman" w:cs="Times New Roman"/>
          <w:sz w:val="21"/>
          <w:szCs w:val="21"/>
        </w:rPr>
        <w:t>s</w:t>
      </w:r>
      <w:r w:rsidRPr="00CD2061">
        <w:rPr>
          <w:rFonts w:ascii="Times New Roman" w:hAnsi="Times New Roman" w:cs="Times New Roman"/>
          <w:sz w:val="21"/>
          <w:szCs w:val="21"/>
        </w:rPr>
        <w:t>ector servicios</w:t>
      </w:r>
      <w:r w:rsidR="00AD66E2" w:rsidRPr="00CD2061">
        <w:rPr>
          <w:rFonts w:ascii="Times New Roman" w:hAnsi="Times New Roman" w:cs="Times New Roman"/>
          <w:sz w:val="21"/>
          <w:szCs w:val="21"/>
        </w:rPr>
        <w:t xml:space="preserve">, y </w:t>
      </w:r>
      <w:r w:rsidR="008A0B42" w:rsidRPr="00CD2061">
        <w:rPr>
          <w:rFonts w:ascii="Times New Roman" w:hAnsi="Times New Roman" w:cs="Times New Roman"/>
          <w:sz w:val="21"/>
          <w:szCs w:val="21"/>
        </w:rPr>
        <w:t>s</w:t>
      </w:r>
      <w:r w:rsidRPr="00CD2061">
        <w:rPr>
          <w:rFonts w:ascii="Times New Roman" w:hAnsi="Times New Roman" w:cs="Times New Roman"/>
          <w:sz w:val="21"/>
          <w:szCs w:val="21"/>
        </w:rPr>
        <w:t>ector financiero.</w:t>
      </w:r>
    </w:p>
    <w:p w:rsidR="00237E8A" w:rsidRPr="00CD2061" w:rsidRDefault="00237E8A" w:rsidP="00237E8A">
      <w:pPr>
        <w:pStyle w:val="Prrafodelista"/>
        <w:spacing w:line="240" w:lineRule="auto"/>
        <w:ind w:left="1418"/>
        <w:jc w:val="both"/>
        <w:rPr>
          <w:rFonts w:ascii="Times New Roman" w:hAnsi="Times New Roman" w:cs="Times New Roman"/>
          <w:sz w:val="21"/>
          <w:szCs w:val="21"/>
        </w:rPr>
      </w:pPr>
    </w:p>
    <w:p w:rsidR="00237E8A" w:rsidRPr="00CD2061" w:rsidRDefault="00237E8A" w:rsidP="00237E8A">
      <w:pPr>
        <w:spacing w:line="240" w:lineRule="auto"/>
        <w:rPr>
          <w:rFonts w:ascii="Times New Roman" w:hAnsi="Times New Roman" w:cs="Times New Roman"/>
          <w:b/>
          <w:sz w:val="21"/>
          <w:szCs w:val="21"/>
          <w:u w:val="single"/>
        </w:rPr>
      </w:pPr>
      <w:r w:rsidRPr="00CD2061">
        <w:rPr>
          <w:rFonts w:ascii="Times New Roman" w:hAnsi="Times New Roman" w:cs="Times New Roman"/>
          <w:b/>
          <w:sz w:val="21"/>
          <w:szCs w:val="21"/>
          <w:u w:val="single"/>
        </w:rPr>
        <w:t xml:space="preserve">Estrategia: </w:t>
      </w:r>
    </w:p>
    <w:p w:rsidR="00237E8A" w:rsidRPr="00CD2061" w:rsidRDefault="00237E8A" w:rsidP="00237E8A">
      <w:pPr>
        <w:pStyle w:val="Prrafodelista"/>
        <w:spacing w:line="240" w:lineRule="auto"/>
        <w:ind w:left="1418"/>
        <w:jc w:val="both"/>
        <w:rPr>
          <w:rFonts w:ascii="Times New Roman" w:hAnsi="Times New Roman" w:cs="Times New Roman"/>
          <w:sz w:val="21"/>
          <w:szCs w:val="21"/>
        </w:rPr>
      </w:pPr>
    </w:p>
    <w:p w:rsidR="00237E8A" w:rsidRPr="00CD2061" w:rsidRDefault="00237E8A" w:rsidP="00AD66E2">
      <w:pPr>
        <w:pStyle w:val="Prrafodelista"/>
        <w:numPr>
          <w:ilvl w:val="0"/>
          <w:numId w:val="4"/>
        </w:numPr>
        <w:spacing w:line="240" w:lineRule="auto"/>
        <w:jc w:val="both"/>
        <w:rPr>
          <w:rFonts w:ascii="Times New Roman" w:hAnsi="Times New Roman" w:cs="Times New Roman"/>
          <w:sz w:val="21"/>
          <w:szCs w:val="21"/>
        </w:rPr>
      </w:pPr>
      <w:r w:rsidRPr="00CD2061">
        <w:rPr>
          <w:rFonts w:ascii="Times New Roman" w:hAnsi="Times New Roman" w:cs="Times New Roman"/>
          <w:sz w:val="21"/>
          <w:szCs w:val="21"/>
        </w:rPr>
        <w:t xml:space="preserve">La vía para alinear </w:t>
      </w:r>
      <w:r w:rsidRPr="00CD2061">
        <w:rPr>
          <w:rFonts w:ascii="Times New Roman" w:hAnsi="Times New Roman" w:cs="Times New Roman"/>
          <w:b/>
          <w:sz w:val="21"/>
          <w:szCs w:val="21"/>
        </w:rPr>
        <w:t>la estrategia de negocio se compone de cinco pasos</w:t>
      </w:r>
      <w:r w:rsidRPr="00CD2061">
        <w:rPr>
          <w:rFonts w:ascii="Times New Roman" w:hAnsi="Times New Roman" w:cs="Times New Roman"/>
          <w:sz w:val="21"/>
          <w:szCs w:val="21"/>
        </w:rPr>
        <w:t>:</w:t>
      </w:r>
      <w:r w:rsidR="00AD66E2" w:rsidRPr="00CD2061">
        <w:rPr>
          <w:rFonts w:ascii="Times New Roman" w:hAnsi="Times New Roman" w:cs="Times New Roman"/>
          <w:sz w:val="21"/>
          <w:szCs w:val="21"/>
        </w:rPr>
        <w:t xml:space="preserve"> </w:t>
      </w:r>
      <w:r w:rsidRPr="00CD2061">
        <w:rPr>
          <w:rFonts w:ascii="Times New Roman" w:hAnsi="Times New Roman" w:cs="Times New Roman"/>
          <w:sz w:val="21"/>
          <w:szCs w:val="21"/>
        </w:rPr>
        <w:t>1. Entender los ODS</w:t>
      </w:r>
      <w:r w:rsidR="00AD66E2" w:rsidRPr="00CD2061">
        <w:rPr>
          <w:rFonts w:ascii="Times New Roman" w:hAnsi="Times New Roman" w:cs="Times New Roman"/>
          <w:sz w:val="21"/>
          <w:szCs w:val="21"/>
        </w:rPr>
        <w:t xml:space="preserve">; </w:t>
      </w:r>
      <w:r w:rsidRPr="00CD2061">
        <w:rPr>
          <w:rFonts w:ascii="Times New Roman" w:hAnsi="Times New Roman" w:cs="Times New Roman"/>
          <w:sz w:val="21"/>
          <w:szCs w:val="21"/>
        </w:rPr>
        <w:t>2. Definir prioridades</w:t>
      </w:r>
      <w:r w:rsidR="00AD66E2" w:rsidRPr="00CD2061">
        <w:rPr>
          <w:rFonts w:ascii="Times New Roman" w:hAnsi="Times New Roman" w:cs="Times New Roman"/>
          <w:sz w:val="21"/>
          <w:szCs w:val="21"/>
        </w:rPr>
        <w:t xml:space="preserve">; </w:t>
      </w:r>
      <w:r w:rsidRPr="00CD2061">
        <w:rPr>
          <w:rFonts w:ascii="Times New Roman" w:hAnsi="Times New Roman" w:cs="Times New Roman"/>
          <w:sz w:val="21"/>
          <w:szCs w:val="21"/>
        </w:rPr>
        <w:t>3. Establecer objetivos</w:t>
      </w:r>
      <w:r w:rsidR="00AD66E2" w:rsidRPr="00CD2061">
        <w:rPr>
          <w:rFonts w:ascii="Times New Roman" w:hAnsi="Times New Roman" w:cs="Times New Roman"/>
          <w:sz w:val="21"/>
          <w:szCs w:val="21"/>
        </w:rPr>
        <w:t xml:space="preserve">; </w:t>
      </w:r>
      <w:r w:rsidRPr="00CD2061">
        <w:rPr>
          <w:rFonts w:ascii="Times New Roman" w:hAnsi="Times New Roman" w:cs="Times New Roman"/>
          <w:sz w:val="21"/>
          <w:szCs w:val="21"/>
        </w:rPr>
        <w:t>4. Integración</w:t>
      </w:r>
      <w:r w:rsidR="00AD66E2" w:rsidRPr="00CD2061">
        <w:rPr>
          <w:rFonts w:ascii="Times New Roman" w:hAnsi="Times New Roman" w:cs="Times New Roman"/>
          <w:sz w:val="21"/>
          <w:szCs w:val="21"/>
        </w:rPr>
        <w:t xml:space="preserve">; </w:t>
      </w:r>
      <w:r w:rsidRPr="00CD2061">
        <w:rPr>
          <w:rFonts w:ascii="Times New Roman" w:hAnsi="Times New Roman" w:cs="Times New Roman"/>
          <w:sz w:val="21"/>
          <w:szCs w:val="21"/>
        </w:rPr>
        <w:t>5. Reportar y comunicar.</w:t>
      </w:r>
    </w:p>
    <w:p w:rsidR="00237E8A" w:rsidRPr="00CD2061" w:rsidRDefault="00237E8A" w:rsidP="00237E8A">
      <w:pPr>
        <w:pStyle w:val="Prrafodelista"/>
        <w:spacing w:line="240" w:lineRule="auto"/>
        <w:ind w:left="1440"/>
        <w:jc w:val="both"/>
        <w:rPr>
          <w:rFonts w:ascii="Times New Roman" w:hAnsi="Times New Roman" w:cs="Times New Roman"/>
          <w:sz w:val="21"/>
          <w:szCs w:val="21"/>
        </w:rPr>
      </w:pPr>
    </w:p>
    <w:p w:rsidR="00237E8A" w:rsidRPr="00CD2061" w:rsidRDefault="00237E8A" w:rsidP="00237E8A">
      <w:pPr>
        <w:pStyle w:val="Prrafodelista"/>
        <w:numPr>
          <w:ilvl w:val="0"/>
          <w:numId w:val="4"/>
        </w:numPr>
        <w:spacing w:line="240" w:lineRule="auto"/>
        <w:jc w:val="both"/>
        <w:rPr>
          <w:rFonts w:ascii="Times New Roman" w:hAnsi="Times New Roman" w:cs="Times New Roman"/>
          <w:sz w:val="21"/>
          <w:szCs w:val="21"/>
        </w:rPr>
      </w:pPr>
      <w:r w:rsidRPr="00CD2061">
        <w:rPr>
          <w:rFonts w:ascii="Times New Roman" w:hAnsi="Times New Roman" w:cs="Times New Roman"/>
          <w:b/>
          <w:sz w:val="21"/>
          <w:szCs w:val="21"/>
        </w:rPr>
        <w:t>Sugerencias para la acción</w:t>
      </w:r>
      <w:r w:rsidRPr="00CD2061">
        <w:rPr>
          <w:rFonts w:ascii="Times New Roman" w:hAnsi="Times New Roman" w:cs="Times New Roman"/>
          <w:sz w:val="21"/>
          <w:szCs w:val="21"/>
        </w:rPr>
        <w:t xml:space="preserve"> de las pymes ante los ODS: Una vez comprendidos los Objetivos de Desarrollo Sostenible y haber analizado cuáles son los prioritarios para la empresa, ésta debe pasar a la acción e integrarlos en la estrategia mediante acciones que contribuyan a su cumplimiento. Estas acciones se pueden realizar en base a cada grupo de interés de la pyme: (acciones con empleados, con proveedores, hacia la comunidad, hacia el medioambiente…).</w:t>
      </w:r>
    </w:p>
    <w:p w:rsidR="00237E8A" w:rsidRPr="00CD2061" w:rsidRDefault="00237E8A" w:rsidP="00237E8A">
      <w:pPr>
        <w:pStyle w:val="Prrafodelista"/>
        <w:spacing w:line="240" w:lineRule="auto"/>
        <w:jc w:val="both"/>
        <w:rPr>
          <w:rFonts w:ascii="Times New Roman" w:hAnsi="Times New Roman" w:cs="Times New Roman"/>
          <w:sz w:val="21"/>
          <w:szCs w:val="21"/>
        </w:rPr>
      </w:pPr>
    </w:p>
    <w:p w:rsidR="00237E8A" w:rsidRPr="00CD2061" w:rsidRDefault="00237E8A" w:rsidP="00237E8A">
      <w:pPr>
        <w:spacing w:line="240" w:lineRule="auto"/>
        <w:rPr>
          <w:rFonts w:ascii="Times New Roman" w:hAnsi="Times New Roman" w:cs="Times New Roman"/>
          <w:b/>
          <w:sz w:val="21"/>
          <w:szCs w:val="21"/>
          <w:u w:val="single"/>
        </w:rPr>
      </w:pPr>
      <w:r w:rsidRPr="00CD2061">
        <w:rPr>
          <w:rFonts w:ascii="Times New Roman" w:hAnsi="Times New Roman" w:cs="Times New Roman"/>
          <w:b/>
          <w:sz w:val="21"/>
          <w:szCs w:val="21"/>
          <w:u w:val="single"/>
        </w:rPr>
        <w:t>ODS y cumplimiento normativo en materia de sostenibilidad:</w:t>
      </w:r>
    </w:p>
    <w:p w:rsidR="00237E8A" w:rsidRPr="00CD2061" w:rsidRDefault="00237E8A" w:rsidP="00237E8A">
      <w:pPr>
        <w:pStyle w:val="Prrafodelista"/>
        <w:spacing w:line="240" w:lineRule="auto"/>
        <w:jc w:val="both"/>
        <w:rPr>
          <w:rFonts w:ascii="Times New Roman" w:hAnsi="Times New Roman" w:cs="Times New Roman"/>
          <w:sz w:val="21"/>
          <w:szCs w:val="21"/>
        </w:rPr>
      </w:pPr>
    </w:p>
    <w:p w:rsidR="00237E8A" w:rsidRPr="00CD2061" w:rsidRDefault="00237E8A" w:rsidP="00237E8A">
      <w:pPr>
        <w:pStyle w:val="Prrafodelista"/>
        <w:numPr>
          <w:ilvl w:val="0"/>
          <w:numId w:val="4"/>
        </w:numPr>
        <w:spacing w:line="240" w:lineRule="auto"/>
        <w:jc w:val="both"/>
        <w:rPr>
          <w:rFonts w:ascii="Times New Roman" w:hAnsi="Times New Roman" w:cs="Times New Roman"/>
          <w:b/>
          <w:sz w:val="21"/>
          <w:szCs w:val="21"/>
        </w:rPr>
      </w:pPr>
      <w:r w:rsidRPr="00CD2061">
        <w:rPr>
          <w:rFonts w:ascii="Times New Roman" w:eastAsia="Times New Roman" w:hAnsi="Times New Roman" w:cs="Times New Roman"/>
          <w:sz w:val="21"/>
          <w:szCs w:val="21"/>
        </w:rPr>
        <w:t xml:space="preserve">Tradicionalmente el ámbito de la sostenibilidad se asociaba con las grandes empresas y multinacionales, sin embargo, </w:t>
      </w:r>
      <w:r w:rsidRPr="00CD2061">
        <w:rPr>
          <w:rFonts w:ascii="Times New Roman" w:eastAsia="Times New Roman" w:hAnsi="Times New Roman" w:cs="Times New Roman"/>
          <w:b/>
          <w:sz w:val="21"/>
          <w:szCs w:val="21"/>
        </w:rPr>
        <w:t>el movimiento a favor de las buenas prácticas empresariales con la sociedad y el entorno ha pasado incluso a formar parte de la normativa que afecta a las pymes.</w:t>
      </w:r>
    </w:p>
    <w:p w:rsidR="00237E8A" w:rsidRPr="00CD2061" w:rsidRDefault="00237E8A" w:rsidP="00237E8A">
      <w:pPr>
        <w:spacing w:line="240" w:lineRule="auto"/>
        <w:ind w:left="708" w:firstLine="708"/>
        <w:jc w:val="both"/>
        <w:rPr>
          <w:rFonts w:ascii="Times New Roman" w:hAnsi="Times New Roman" w:cs="Times New Roman"/>
          <w:b/>
          <w:sz w:val="21"/>
          <w:szCs w:val="21"/>
        </w:rPr>
      </w:pPr>
      <w:r w:rsidRPr="00CD2061">
        <w:rPr>
          <w:rFonts w:ascii="Times New Roman" w:hAnsi="Times New Roman" w:cs="Times New Roman"/>
          <w:b/>
          <w:sz w:val="21"/>
          <w:szCs w:val="21"/>
        </w:rPr>
        <w:t>Información No Financiera:</w:t>
      </w:r>
    </w:p>
    <w:p w:rsidR="00237E8A" w:rsidRPr="00CD2061" w:rsidRDefault="00A22151" w:rsidP="00237E8A">
      <w:pPr>
        <w:pStyle w:val="Prrafodelista"/>
        <w:numPr>
          <w:ilvl w:val="0"/>
          <w:numId w:val="7"/>
        </w:numPr>
        <w:spacing w:line="240" w:lineRule="auto"/>
        <w:jc w:val="both"/>
        <w:rPr>
          <w:rFonts w:ascii="Times New Roman" w:eastAsia="Times New Roman" w:hAnsi="Times New Roman" w:cs="Times New Roman"/>
          <w:sz w:val="21"/>
          <w:szCs w:val="21"/>
        </w:rPr>
      </w:pPr>
      <w:hyperlink r:id="rId8">
        <w:r w:rsidR="00237E8A" w:rsidRPr="00CD2061">
          <w:rPr>
            <w:rFonts w:ascii="Times New Roman" w:hAnsi="Times New Roman" w:cs="Times New Roman"/>
            <w:bCs/>
            <w:sz w:val="21"/>
            <w:szCs w:val="21"/>
          </w:rPr>
          <w:t xml:space="preserve">El 29 de diciembre de 2018 entró en vigor la Ley de </w:t>
        </w:r>
        <w:r w:rsidR="00237E8A" w:rsidRPr="00CD2061">
          <w:rPr>
            <w:rFonts w:ascii="Times New Roman" w:hAnsi="Times New Roman" w:cs="Times New Roman"/>
            <w:b/>
            <w:bCs/>
            <w:sz w:val="21"/>
            <w:szCs w:val="21"/>
          </w:rPr>
          <w:t xml:space="preserve">Información No Financiera </w:t>
        </w:r>
        <w:r w:rsidR="00237E8A" w:rsidRPr="00CD2061">
          <w:rPr>
            <w:rFonts w:ascii="Times New Roman" w:hAnsi="Times New Roman" w:cs="Times New Roman"/>
            <w:bCs/>
            <w:sz w:val="21"/>
            <w:szCs w:val="21"/>
          </w:rPr>
          <w:t>(Ley 11/2018)</w:t>
        </w:r>
        <w:r w:rsidR="00431C42" w:rsidRPr="00CD2061">
          <w:rPr>
            <w:rFonts w:ascii="Times New Roman" w:hAnsi="Times New Roman" w:cs="Times New Roman"/>
            <w:bCs/>
            <w:sz w:val="21"/>
            <w:szCs w:val="21"/>
          </w:rPr>
          <w:t>.</w:t>
        </w:r>
        <w:r w:rsidR="00237E8A" w:rsidRPr="00CD2061">
          <w:rPr>
            <w:rFonts w:ascii="Times New Roman" w:hAnsi="Times New Roman" w:cs="Times New Roman"/>
            <w:bCs/>
            <w:sz w:val="21"/>
            <w:szCs w:val="21"/>
          </w:rPr>
          <w:t xml:space="preserve">  </w:t>
        </w:r>
      </w:hyperlink>
      <w:r w:rsidR="00237E8A" w:rsidRPr="00CD2061">
        <w:rPr>
          <w:rFonts w:ascii="Times New Roman" w:hAnsi="Times New Roman" w:cs="Times New Roman"/>
          <w:bCs/>
          <w:sz w:val="21"/>
          <w:szCs w:val="21"/>
        </w:rPr>
        <w:t>Esta Ley es de obligado cumplimiento para empresas de determinada dimensión; no obstante</w:t>
      </w:r>
      <w:r w:rsidR="00431C42" w:rsidRPr="00CD2061">
        <w:rPr>
          <w:rFonts w:ascii="Times New Roman" w:hAnsi="Times New Roman" w:cs="Times New Roman"/>
          <w:bCs/>
          <w:sz w:val="21"/>
          <w:szCs w:val="21"/>
        </w:rPr>
        <w:t xml:space="preserve">, </w:t>
      </w:r>
      <w:r w:rsidR="00237E8A" w:rsidRPr="00CD2061">
        <w:rPr>
          <w:rFonts w:ascii="Times New Roman" w:eastAsia="Times New Roman" w:hAnsi="Times New Roman" w:cs="Times New Roman"/>
          <w:sz w:val="21"/>
          <w:szCs w:val="21"/>
        </w:rPr>
        <w:t>el hecho de obligar a éstas a reportar las prácticas de compromiso social y medioambiental puede afectar de manera colateral a empresas de pequeña o mediana dimensión que sean proveedoras de las primeras en la cadena de suministro. Ello pudiera suponer un cambio relevante, en el corto y medio plazo, en la operativa y en las exigencias para las pymes que quieran optar a suministrar a empresas de mayor dimensión.</w:t>
      </w:r>
    </w:p>
    <w:p w:rsidR="00237E8A" w:rsidRPr="00CD2061" w:rsidRDefault="00237E8A" w:rsidP="00237E8A">
      <w:pPr>
        <w:pStyle w:val="Prrafodelista"/>
        <w:spacing w:line="240" w:lineRule="auto"/>
        <w:ind w:left="1416"/>
        <w:jc w:val="both"/>
        <w:rPr>
          <w:rFonts w:ascii="Times New Roman" w:hAnsi="Times New Roman" w:cs="Times New Roman"/>
          <w:b/>
          <w:sz w:val="21"/>
          <w:szCs w:val="21"/>
        </w:rPr>
      </w:pPr>
    </w:p>
    <w:p w:rsidR="00237E8A" w:rsidRPr="00CD2061" w:rsidRDefault="00237E8A" w:rsidP="00237E8A">
      <w:pPr>
        <w:pStyle w:val="Prrafodelista"/>
        <w:spacing w:line="240" w:lineRule="auto"/>
        <w:ind w:left="1416"/>
        <w:jc w:val="both"/>
        <w:rPr>
          <w:rFonts w:ascii="Times New Roman" w:hAnsi="Times New Roman" w:cs="Times New Roman"/>
          <w:b/>
          <w:sz w:val="21"/>
          <w:szCs w:val="21"/>
        </w:rPr>
      </w:pPr>
      <w:r w:rsidRPr="00CD2061">
        <w:rPr>
          <w:rFonts w:ascii="Times New Roman" w:hAnsi="Times New Roman" w:cs="Times New Roman"/>
          <w:b/>
          <w:sz w:val="21"/>
          <w:szCs w:val="21"/>
        </w:rPr>
        <w:t xml:space="preserve">Igualdad de género: </w:t>
      </w:r>
    </w:p>
    <w:p w:rsidR="00237E8A" w:rsidRPr="00CD2061" w:rsidRDefault="00237E8A" w:rsidP="00237E8A">
      <w:pPr>
        <w:pStyle w:val="Prrafodelista"/>
        <w:numPr>
          <w:ilvl w:val="1"/>
          <w:numId w:val="4"/>
        </w:numPr>
        <w:spacing w:line="240" w:lineRule="auto"/>
        <w:jc w:val="both"/>
        <w:rPr>
          <w:rFonts w:ascii="Times New Roman" w:hAnsi="Times New Roman" w:cs="Times New Roman"/>
          <w:sz w:val="21"/>
          <w:szCs w:val="21"/>
        </w:rPr>
      </w:pPr>
      <w:r w:rsidRPr="00CD2061">
        <w:rPr>
          <w:rFonts w:ascii="Times New Roman" w:hAnsi="Times New Roman" w:cs="Times New Roman"/>
          <w:sz w:val="21"/>
          <w:szCs w:val="21"/>
        </w:rPr>
        <w:t xml:space="preserve">Con la aprobación de la </w:t>
      </w:r>
      <w:r w:rsidRPr="00CD2061">
        <w:rPr>
          <w:rFonts w:ascii="Times New Roman" w:hAnsi="Times New Roman" w:cs="Times New Roman"/>
          <w:b/>
          <w:sz w:val="21"/>
          <w:szCs w:val="21"/>
        </w:rPr>
        <w:t>Ley de Información No Financiera se modifica la Ley de Sociedades de Capital</w:t>
      </w:r>
      <w:r w:rsidRPr="00CD2061">
        <w:rPr>
          <w:rFonts w:ascii="Times New Roman" w:hAnsi="Times New Roman" w:cs="Times New Roman"/>
          <w:sz w:val="21"/>
          <w:szCs w:val="21"/>
        </w:rPr>
        <w:t xml:space="preserve">. En 2018 se añaden requisitos respecto a la gestión de la </w:t>
      </w:r>
      <w:r w:rsidRPr="00CD2061">
        <w:rPr>
          <w:rFonts w:ascii="Times New Roman" w:hAnsi="Times New Roman" w:cs="Times New Roman"/>
          <w:b/>
          <w:sz w:val="21"/>
          <w:szCs w:val="21"/>
        </w:rPr>
        <w:t>igualdad de género</w:t>
      </w:r>
      <w:r w:rsidRPr="00CD2061">
        <w:rPr>
          <w:rFonts w:ascii="Times New Roman" w:hAnsi="Times New Roman" w:cs="Times New Roman"/>
          <w:sz w:val="21"/>
          <w:szCs w:val="21"/>
        </w:rPr>
        <w:t xml:space="preserve">. El objetivo que busca la ley es el desarrollo de las políticas de diversidad de las empresas que mejoren la presencia de mujeres en los Consejos de Administración. Las entidades cotizadas que sean pequeñas y </w:t>
      </w:r>
      <w:proofErr w:type="gramStart"/>
      <w:r w:rsidRPr="00CD2061">
        <w:rPr>
          <w:rFonts w:ascii="Times New Roman" w:hAnsi="Times New Roman" w:cs="Times New Roman"/>
          <w:sz w:val="21"/>
          <w:szCs w:val="21"/>
        </w:rPr>
        <w:t>medianas,</w:t>
      </w:r>
      <w:proofErr w:type="gramEnd"/>
      <w:r w:rsidRPr="00CD2061">
        <w:rPr>
          <w:rFonts w:ascii="Times New Roman" w:hAnsi="Times New Roman" w:cs="Times New Roman"/>
          <w:sz w:val="21"/>
          <w:szCs w:val="21"/>
        </w:rPr>
        <w:t xml:space="preserve"> únicamente estarán obligadas a proporcionar información sobre las medidas que, en su caso, se hubiesen adoptado en materia de género.</w:t>
      </w:r>
    </w:p>
    <w:p w:rsidR="00237E8A" w:rsidRPr="00CD2061" w:rsidRDefault="00237E8A" w:rsidP="00237E8A">
      <w:pPr>
        <w:pStyle w:val="Prrafodelista"/>
        <w:spacing w:line="240" w:lineRule="auto"/>
        <w:ind w:left="1440"/>
        <w:jc w:val="both"/>
        <w:rPr>
          <w:rFonts w:ascii="Times New Roman" w:hAnsi="Times New Roman" w:cs="Times New Roman"/>
          <w:sz w:val="21"/>
          <w:szCs w:val="21"/>
        </w:rPr>
      </w:pPr>
    </w:p>
    <w:p w:rsidR="00237E8A" w:rsidRPr="00CD2061" w:rsidRDefault="00237E8A" w:rsidP="00237E8A">
      <w:pPr>
        <w:pStyle w:val="Prrafodelista"/>
        <w:numPr>
          <w:ilvl w:val="1"/>
          <w:numId w:val="4"/>
        </w:numPr>
        <w:spacing w:line="240" w:lineRule="auto"/>
        <w:jc w:val="both"/>
        <w:rPr>
          <w:rFonts w:ascii="Times New Roman" w:hAnsi="Times New Roman" w:cs="Times New Roman"/>
          <w:sz w:val="21"/>
          <w:szCs w:val="21"/>
        </w:rPr>
      </w:pPr>
      <w:r w:rsidRPr="00CD2061">
        <w:rPr>
          <w:rFonts w:ascii="Times New Roman" w:hAnsi="Times New Roman" w:cs="Times New Roman"/>
          <w:b/>
          <w:sz w:val="21"/>
          <w:szCs w:val="21"/>
        </w:rPr>
        <w:t xml:space="preserve">El </w:t>
      </w:r>
      <w:hyperlink r:id="rId9" w:history="1">
        <w:r w:rsidRPr="00CD2061">
          <w:rPr>
            <w:rStyle w:val="Hipervnculo"/>
            <w:rFonts w:ascii="Times New Roman" w:hAnsi="Times New Roman"/>
            <w:b/>
            <w:color w:val="auto"/>
            <w:sz w:val="21"/>
            <w:szCs w:val="21"/>
          </w:rPr>
          <w:t>Real Decreto-ley 6/2019</w:t>
        </w:r>
      </w:hyperlink>
      <w:r w:rsidRPr="00CD2061">
        <w:rPr>
          <w:rFonts w:ascii="Times New Roman" w:hAnsi="Times New Roman" w:cs="Times New Roman"/>
          <w:sz w:val="21"/>
          <w:szCs w:val="21"/>
        </w:rPr>
        <w:t xml:space="preserve">, en vigor desde el día 8 de marzo, modifica la Ley Orgánica 3/2007, de 22 de marzo, de igualdad, </w:t>
      </w:r>
      <w:r w:rsidRPr="00CD2061">
        <w:rPr>
          <w:rFonts w:ascii="Times New Roman" w:hAnsi="Times New Roman" w:cs="Times New Roman"/>
          <w:bCs/>
          <w:sz w:val="21"/>
          <w:szCs w:val="21"/>
        </w:rPr>
        <w:t xml:space="preserve">incluyendo a las empresas con más de 50 trabajadores </w:t>
      </w:r>
      <w:r w:rsidRPr="00CD2061">
        <w:rPr>
          <w:rFonts w:ascii="Times New Roman" w:hAnsi="Times New Roman" w:cs="Times New Roman"/>
          <w:bCs/>
          <w:sz w:val="21"/>
          <w:szCs w:val="21"/>
        </w:rPr>
        <w:lastRenderedPageBreak/>
        <w:t xml:space="preserve">en la obligación de implantar un Plan de Igualdad: </w:t>
      </w:r>
      <w:r w:rsidRPr="00CD2061">
        <w:rPr>
          <w:rFonts w:ascii="Times New Roman" w:hAnsi="Times New Roman" w:cs="Times New Roman"/>
          <w:sz w:val="21"/>
          <w:szCs w:val="21"/>
        </w:rPr>
        <w:t>proceso de selección y contratación, clasificación profesional, formación, promoción profesional, condiciones de trabajo, incluida la auditoría salarial entre mujeres y hombres; ejercicio corresponsable de los derechos de la vida personal, familiar y laboral; infrarrepresentación femenina, retribuciones y prevención del acoso sexual y por razón de sexo. Creación de un Registro de Planes de Igualdad de las Empresas, como parte de los registros de convenios y acuerdos colectivos de trabajo. Las empresas están obligadas a inscribir sus planes de igualdad en este registro.</w:t>
      </w:r>
    </w:p>
    <w:p w:rsidR="00237E8A" w:rsidRPr="00CD2061" w:rsidRDefault="00237E8A" w:rsidP="00237E8A">
      <w:pPr>
        <w:pStyle w:val="Prrafodelista"/>
        <w:spacing w:line="240" w:lineRule="auto"/>
        <w:rPr>
          <w:rFonts w:ascii="Times New Roman" w:hAnsi="Times New Roman" w:cs="Times New Roman"/>
          <w:sz w:val="21"/>
          <w:szCs w:val="21"/>
        </w:rPr>
      </w:pPr>
    </w:p>
    <w:p w:rsidR="00237E8A" w:rsidRPr="00CD2061" w:rsidRDefault="00237E8A" w:rsidP="00237E8A">
      <w:pPr>
        <w:pStyle w:val="Prrafodelista"/>
        <w:numPr>
          <w:ilvl w:val="2"/>
          <w:numId w:val="4"/>
        </w:numPr>
        <w:spacing w:line="240" w:lineRule="auto"/>
        <w:jc w:val="both"/>
        <w:rPr>
          <w:rFonts w:ascii="Times New Roman" w:hAnsi="Times New Roman" w:cs="Times New Roman"/>
          <w:sz w:val="21"/>
          <w:szCs w:val="21"/>
        </w:rPr>
      </w:pPr>
      <w:r w:rsidRPr="00CD2061">
        <w:rPr>
          <w:rFonts w:ascii="Times New Roman" w:hAnsi="Times New Roman" w:cs="Times New Roman"/>
          <w:sz w:val="21"/>
          <w:szCs w:val="21"/>
        </w:rPr>
        <w:t>Remuneración por razón de sexo: Se establece la obligación para toda empresa de llevar un registro de salarios de la plantilla, desagregados por sexo y distribuidos por grupos profesionales/categorías/puestos de trabajo iguales o de igual valor y el acceso a los mismos a través de los representantes de los trabajadores. Las empresas de menos de 50 trabajadores deberán justificar en el registro los motivos no relacionados con el sexo que generan esa diferencia salarial.</w:t>
      </w:r>
    </w:p>
    <w:p w:rsidR="00237E8A" w:rsidRPr="00CD2061" w:rsidRDefault="00237E8A" w:rsidP="00237E8A">
      <w:pPr>
        <w:pStyle w:val="Prrafodelista"/>
        <w:numPr>
          <w:ilvl w:val="2"/>
          <w:numId w:val="4"/>
        </w:numPr>
        <w:spacing w:line="240" w:lineRule="auto"/>
        <w:jc w:val="both"/>
        <w:rPr>
          <w:rFonts w:ascii="Times New Roman" w:hAnsi="Times New Roman" w:cs="Times New Roman"/>
          <w:sz w:val="21"/>
          <w:szCs w:val="21"/>
        </w:rPr>
      </w:pPr>
      <w:r w:rsidRPr="00CD2061">
        <w:rPr>
          <w:rFonts w:ascii="Times New Roman" w:hAnsi="Times New Roman" w:cs="Times New Roman"/>
          <w:sz w:val="21"/>
          <w:szCs w:val="21"/>
        </w:rPr>
        <w:t>También contempla cuestiones para mejorar la conciliación de la vida familiar y laboral.</w:t>
      </w:r>
    </w:p>
    <w:p w:rsidR="00431C42" w:rsidRPr="00CD2061" w:rsidRDefault="00431C42" w:rsidP="00431C42">
      <w:pPr>
        <w:pStyle w:val="Prrafodelista"/>
        <w:spacing w:line="240" w:lineRule="auto"/>
        <w:ind w:left="2160"/>
        <w:jc w:val="both"/>
        <w:rPr>
          <w:rFonts w:ascii="Times New Roman" w:hAnsi="Times New Roman" w:cs="Times New Roman"/>
          <w:sz w:val="21"/>
          <w:szCs w:val="21"/>
        </w:rPr>
      </w:pPr>
    </w:p>
    <w:p w:rsidR="00237E8A" w:rsidRPr="00CD2061" w:rsidRDefault="00237E8A" w:rsidP="00237E8A">
      <w:pPr>
        <w:spacing w:line="240" w:lineRule="auto"/>
        <w:ind w:left="708" w:firstLine="708"/>
        <w:jc w:val="both"/>
        <w:rPr>
          <w:rFonts w:ascii="Times New Roman" w:hAnsi="Times New Roman" w:cs="Times New Roman"/>
          <w:b/>
          <w:sz w:val="21"/>
          <w:szCs w:val="21"/>
        </w:rPr>
      </w:pPr>
      <w:r w:rsidRPr="00CD2061">
        <w:rPr>
          <w:rFonts w:ascii="Times New Roman" w:hAnsi="Times New Roman" w:cs="Times New Roman"/>
          <w:b/>
          <w:sz w:val="21"/>
          <w:szCs w:val="21"/>
        </w:rPr>
        <w:t xml:space="preserve">Contratación con el Sector Público: </w:t>
      </w:r>
    </w:p>
    <w:p w:rsidR="00237E8A" w:rsidRPr="00CD2061" w:rsidRDefault="00237E8A" w:rsidP="00237E8A">
      <w:pPr>
        <w:pStyle w:val="Prrafodelista"/>
        <w:numPr>
          <w:ilvl w:val="1"/>
          <w:numId w:val="4"/>
        </w:numPr>
        <w:spacing w:line="240" w:lineRule="auto"/>
        <w:jc w:val="both"/>
        <w:rPr>
          <w:rFonts w:ascii="Times New Roman" w:hAnsi="Times New Roman" w:cs="Times New Roman"/>
          <w:sz w:val="21"/>
          <w:szCs w:val="21"/>
        </w:rPr>
      </w:pPr>
      <w:r w:rsidRPr="00CD2061">
        <w:rPr>
          <w:rFonts w:ascii="Times New Roman" w:hAnsi="Times New Roman" w:cs="Times New Roman"/>
          <w:sz w:val="21"/>
          <w:szCs w:val="21"/>
        </w:rPr>
        <w:t>La Ley de Contratos del Sector Público (Ley 9/2017, de 8 de noviembre</w:t>
      </w:r>
      <w:r w:rsidRPr="00CD2061">
        <w:rPr>
          <w:rFonts w:ascii="Times New Roman" w:hAnsi="Times New Roman" w:cs="Times New Roman"/>
          <w:bCs/>
          <w:sz w:val="21"/>
          <w:szCs w:val="21"/>
        </w:rPr>
        <w:t xml:space="preserve">) </w:t>
      </w:r>
      <w:r w:rsidRPr="00CD2061">
        <w:rPr>
          <w:rFonts w:ascii="Times New Roman" w:hAnsi="Times New Roman" w:cs="Times New Roman"/>
          <w:sz w:val="21"/>
          <w:szCs w:val="21"/>
        </w:rPr>
        <w:t xml:space="preserve">contempla la </w:t>
      </w:r>
      <w:r w:rsidRPr="00CD2061">
        <w:rPr>
          <w:rFonts w:ascii="Times New Roman" w:hAnsi="Times New Roman" w:cs="Times New Roman"/>
          <w:bCs/>
          <w:sz w:val="21"/>
          <w:szCs w:val="21"/>
        </w:rPr>
        <w:t xml:space="preserve">incorporación de nuevos criterios sociales y medioambientales de forma transversal y obligatoria </w:t>
      </w:r>
      <w:r w:rsidRPr="00CD2061">
        <w:rPr>
          <w:rFonts w:ascii="Times New Roman" w:hAnsi="Times New Roman" w:cs="Times New Roman"/>
          <w:sz w:val="21"/>
          <w:szCs w:val="21"/>
        </w:rPr>
        <w:t>en múltiples ámbitos del proceso de contratación pública.</w:t>
      </w:r>
    </w:p>
    <w:p w:rsidR="00237E8A" w:rsidRPr="00CD2061" w:rsidRDefault="00237E8A" w:rsidP="00237E8A">
      <w:pPr>
        <w:pStyle w:val="Prrafodelista"/>
        <w:spacing w:line="240" w:lineRule="auto"/>
        <w:rPr>
          <w:rFonts w:ascii="Times New Roman" w:hAnsi="Times New Roman" w:cs="Times New Roman"/>
          <w:sz w:val="21"/>
          <w:szCs w:val="21"/>
        </w:rPr>
      </w:pPr>
    </w:p>
    <w:p w:rsidR="00237E8A" w:rsidRPr="00CD2061" w:rsidRDefault="00237E8A" w:rsidP="00237E8A">
      <w:pPr>
        <w:pStyle w:val="Prrafodelista"/>
        <w:numPr>
          <w:ilvl w:val="1"/>
          <w:numId w:val="4"/>
        </w:numPr>
        <w:spacing w:line="240" w:lineRule="auto"/>
        <w:jc w:val="both"/>
        <w:rPr>
          <w:rFonts w:ascii="Times New Roman" w:hAnsi="Times New Roman" w:cs="Times New Roman"/>
          <w:sz w:val="21"/>
          <w:szCs w:val="21"/>
        </w:rPr>
      </w:pPr>
      <w:r w:rsidRPr="00CD2061">
        <w:rPr>
          <w:rFonts w:ascii="Times New Roman" w:hAnsi="Times New Roman" w:cs="Times New Roman"/>
          <w:sz w:val="21"/>
          <w:szCs w:val="21"/>
        </w:rPr>
        <w:t>En la Ley de Contratos del Sector Público: Los aspectos éticos, sociales y medioambientales pueden contemplarse como cuestiones positivas a valorar en la calidad-precio de la oferta para la adjudicación, para otorgar más puntos o como criterio de desempate. También se pueden aplicar como condiciones especiales de ejecución del servicio contratado una vez haya sido adjudicado.</w:t>
      </w:r>
    </w:p>
    <w:p w:rsidR="00237E8A" w:rsidRPr="00CD2061" w:rsidRDefault="00237E8A" w:rsidP="00237E8A">
      <w:pPr>
        <w:spacing w:line="240" w:lineRule="auto"/>
        <w:ind w:left="708" w:firstLine="708"/>
        <w:jc w:val="both"/>
        <w:rPr>
          <w:rFonts w:ascii="Times New Roman" w:hAnsi="Times New Roman" w:cs="Times New Roman"/>
          <w:b/>
          <w:sz w:val="21"/>
          <w:szCs w:val="21"/>
        </w:rPr>
      </w:pPr>
      <w:r w:rsidRPr="00CD2061">
        <w:rPr>
          <w:rFonts w:ascii="Times New Roman" w:hAnsi="Times New Roman" w:cs="Times New Roman"/>
          <w:b/>
          <w:sz w:val="21"/>
          <w:szCs w:val="21"/>
        </w:rPr>
        <w:t>Cambio climático:</w:t>
      </w:r>
    </w:p>
    <w:p w:rsidR="00237E8A" w:rsidRPr="00CD2061" w:rsidRDefault="00237E8A" w:rsidP="00237E8A">
      <w:pPr>
        <w:pStyle w:val="Prrafodelista"/>
        <w:numPr>
          <w:ilvl w:val="1"/>
          <w:numId w:val="4"/>
        </w:numPr>
        <w:spacing w:line="240" w:lineRule="auto"/>
        <w:rPr>
          <w:rFonts w:ascii="Times New Roman" w:hAnsi="Times New Roman" w:cs="Times New Roman"/>
          <w:sz w:val="21"/>
          <w:szCs w:val="21"/>
          <w:shd w:val="clear" w:color="auto" w:fill="FFFFFF"/>
        </w:rPr>
      </w:pPr>
      <w:r w:rsidRPr="00CD2061">
        <w:rPr>
          <w:rFonts w:ascii="Times New Roman" w:hAnsi="Times New Roman" w:cs="Times New Roman"/>
          <w:sz w:val="21"/>
          <w:szCs w:val="21"/>
          <w:shd w:val="clear" w:color="auto" w:fill="FFFFFF"/>
        </w:rPr>
        <w:t xml:space="preserve">En los últimos cuatro años España ha sido el país de la UE donde más han aumentado las emisiones. Desde 2011 se pretende aprobar la legislación sobre </w:t>
      </w:r>
      <w:r w:rsidRPr="00CD2061">
        <w:rPr>
          <w:rFonts w:ascii="Times New Roman" w:hAnsi="Times New Roman" w:cs="Times New Roman"/>
          <w:b/>
          <w:sz w:val="21"/>
          <w:szCs w:val="21"/>
          <w:shd w:val="clear" w:color="auto" w:fill="FFFFFF"/>
        </w:rPr>
        <w:t>cambio climático</w:t>
      </w:r>
      <w:r w:rsidRPr="00CD2061">
        <w:rPr>
          <w:rFonts w:ascii="Times New Roman" w:hAnsi="Times New Roman" w:cs="Times New Roman"/>
          <w:sz w:val="21"/>
          <w:szCs w:val="21"/>
          <w:shd w:val="clear" w:color="auto" w:fill="FFFFFF"/>
        </w:rPr>
        <w:t xml:space="preserve"> que finalmente ha visto publicado su Anteproyecto de Ley de Cambio Climático y Transición Ecológica en febrero 2019. </w:t>
      </w:r>
    </w:p>
    <w:p w:rsidR="00237E8A" w:rsidRPr="00CD2061" w:rsidRDefault="00237E8A" w:rsidP="00237E8A">
      <w:pPr>
        <w:pStyle w:val="Prrafodelista"/>
        <w:spacing w:line="240" w:lineRule="auto"/>
        <w:ind w:left="1440"/>
        <w:rPr>
          <w:rFonts w:ascii="Times New Roman" w:hAnsi="Times New Roman" w:cs="Times New Roman"/>
          <w:sz w:val="21"/>
          <w:szCs w:val="21"/>
          <w:shd w:val="clear" w:color="auto" w:fill="FFFFFF"/>
        </w:rPr>
      </w:pPr>
    </w:p>
    <w:p w:rsidR="00237E8A" w:rsidRPr="00CD2061" w:rsidRDefault="00237E8A" w:rsidP="00431C42">
      <w:pPr>
        <w:pStyle w:val="Prrafodelista"/>
        <w:numPr>
          <w:ilvl w:val="1"/>
          <w:numId w:val="4"/>
        </w:numPr>
        <w:spacing w:line="240" w:lineRule="auto"/>
        <w:jc w:val="both"/>
        <w:rPr>
          <w:rFonts w:ascii="Times New Roman" w:hAnsi="Times New Roman" w:cs="Times New Roman"/>
          <w:sz w:val="21"/>
          <w:szCs w:val="21"/>
          <w:shd w:val="clear" w:color="auto" w:fill="FFFFFF"/>
        </w:rPr>
      </w:pPr>
      <w:r w:rsidRPr="00CD2061">
        <w:rPr>
          <w:rFonts w:ascii="Times New Roman" w:hAnsi="Times New Roman" w:cs="Times New Roman"/>
          <w:sz w:val="21"/>
          <w:szCs w:val="21"/>
          <w:shd w:val="clear" w:color="auto" w:fill="FFFFFF"/>
        </w:rPr>
        <w:t>El anteproyecto de Ley fija dos plazos concretos para cumplir los objetivos de reducción de emisiones de gases de efecto invernadero (GEI), introducción de energías renovables y mejorar la eficiencia en el uso de la energía: 2030 y 2050.</w:t>
      </w:r>
    </w:p>
    <w:p w:rsidR="00237E8A" w:rsidRPr="00CD2061" w:rsidRDefault="00237E8A" w:rsidP="00237E8A">
      <w:pPr>
        <w:pStyle w:val="Prrafodelista"/>
        <w:spacing w:line="240" w:lineRule="auto"/>
        <w:jc w:val="both"/>
        <w:rPr>
          <w:rFonts w:ascii="Times New Roman" w:hAnsi="Times New Roman" w:cs="Times New Roman"/>
          <w:sz w:val="21"/>
          <w:szCs w:val="21"/>
        </w:rPr>
      </w:pPr>
    </w:p>
    <w:p w:rsidR="00237E8A" w:rsidRPr="00CD2061" w:rsidRDefault="00237E8A" w:rsidP="00237E8A">
      <w:pPr>
        <w:pStyle w:val="Prrafodelista"/>
        <w:numPr>
          <w:ilvl w:val="1"/>
          <w:numId w:val="4"/>
        </w:numPr>
        <w:spacing w:line="240" w:lineRule="auto"/>
        <w:jc w:val="both"/>
        <w:rPr>
          <w:rFonts w:ascii="Times New Roman" w:hAnsi="Times New Roman" w:cs="Times New Roman"/>
          <w:sz w:val="21"/>
          <w:szCs w:val="21"/>
        </w:rPr>
      </w:pPr>
      <w:r w:rsidRPr="00CD2061">
        <w:rPr>
          <w:rFonts w:ascii="Times New Roman" w:hAnsi="Times New Roman" w:cs="Times New Roman"/>
          <w:sz w:val="21"/>
          <w:szCs w:val="21"/>
          <w:shd w:val="clear" w:color="auto" w:fill="FFFFFF"/>
        </w:rPr>
        <w:t>A partir de 2040 no se podrán matricular o vender coches que utilicen combustibles que emitan CO2 (diésel y gasolina, híbridos y butano). Complementariamente se fomentará el uso del vehículo eléctrico.</w:t>
      </w:r>
    </w:p>
    <w:p w:rsidR="00237E8A" w:rsidRPr="00CD2061" w:rsidRDefault="00237E8A" w:rsidP="00237E8A">
      <w:pPr>
        <w:pStyle w:val="Prrafodelista"/>
        <w:spacing w:line="240" w:lineRule="auto"/>
        <w:ind w:left="1440"/>
        <w:jc w:val="both"/>
        <w:rPr>
          <w:rFonts w:ascii="Times New Roman" w:hAnsi="Times New Roman" w:cs="Times New Roman"/>
          <w:sz w:val="21"/>
          <w:szCs w:val="21"/>
        </w:rPr>
      </w:pPr>
    </w:p>
    <w:p w:rsidR="00237E8A" w:rsidRPr="00CD2061" w:rsidRDefault="00237E8A" w:rsidP="00237E8A">
      <w:pPr>
        <w:spacing w:line="240" w:lineRule="auto"/>
        <w:rPr>
          <w:rFonts w:ascii="Times New Roman" w:hAnsi="Times New Roman" w:cs="Times New Roman"/>
          <w:b/>
          <w:sz w:val="21"/>
          <w:szCs w:val="21"/>
          <w:u w:val="single"/>
        </w:rPr>
      </w:pPr>
      <w:r w:rsidRPr="00CD2061">
        <w:rPr>
          <w:rFonts w:ascii="Times New Roman" w:hAnsi="Times New Roman" w:cs="Times New Roman"/>
          <w:b/>
          <w:sz w:val="21"/>
          <w:szCs w:val="21"/>
          <w:u w:val="single"/>
        </w:rPr>
        <w:t>Sostenibilidad y tributos:</w:t>
      </w:r>
    </w:p>
    <w:p w:rsidR="000E02A6" w:rsidRPr="00CD2061" w:rsidRDefault="000E02A6" w:rsidP="00237E8A">
      <w:pPr>
        <w:spacing w:line="240" w:lineRule="auto"/>
        <w:rPr>
          <w:rFonts w:ascii="Times New Roman" w:hAnsi="Times New Roman" w:cs="Times New Roman"/>
          <w:b/>
          <w:sz w:val="21"/>
          <w:szCs w:val="21"/>
          <w:u w:val="single"/>
        </w:rPr>
      </w:pPr>
    </w:p>
    <w:p w:rsidR="00237E8A" w:rsidRPr="00CD2061" w:rsidRDefault="00237E8A" w:rsidP="00237E8A">
      <w:pPr>
        <w:pStyle w:val="Prrafodelista"/>
        <w:numPr>
          <w:ilvl w:val="0"/>
          <w:numId w:val="4"/>
        </w:numPr>
        <w:spacing w:line="240" w:lineRule="auto"/>
        <w:jc w:val="both"/>
        <w:rPr>
          <w:rFonts w:ascii="Times New Roman" w:hAnsi="Times New Roman" w:cs="Times New Roman"/>
          <w:sz w:val="21"/>
          <w:szCs w:val="21"/>
        </w:rPr>
      </w:pPr>
      <w:r w:rsidRPr="00CD2061">
        <w:rPr>
          <w:rFonts w:ascii="Times New Roman" w:hAnsi="Times New Roman" w:cs="Times New Roman"/>
          <w:sz w:val="21"/>
          <w:szCs w:val="21"/>
        </w:rPr>
        <w:t xml:space="preserve">A pesar de que </w:t>
      </w:r>
      <w:r w:rsidRPr="00CD2061">
        <w:rPr>
          <w:rFonts w:ascii="Times New Roman" w:hAnsi="Times New Roman" w:cs="Times New Roman"/>
          <w:b/>
          <w:sz w:val="21"/>
          <w:szCs w:val="21"/>
        </w:rPr>
        <w:t>el Impuesto sobre Sociedades no contempla ningún incentivo fiscal en materia de medioambiente</w:t>
      </w:r>
      <w:r w:rsidRPr="00CD2061">
        <w:rPr>
          <w:rFonts w:ascii="Times New Roman" w:hAnsi="Times New Roman" w:cs="Times New Roman"/>
          <w:sz w:val="21"/>
          <w:szCs w:val="21"/>
        </w:rPr>
        <w:t xml:space="preserve">, </w:t>
      </w:r>
      <w:r w:rsidRPr="00CD2061">
        <w:rPr>
          <w:rFonts w:ascii="Times New Roman" w:hAnsi="Times New Roman" w:cs="Times New Roman"/>
          <w:b/>
          <w:sz w:val="21"/>
          <w:szCs w:val="21"/>
        </w:rPr>
        <w:t>el mantenimiento por parte de las empresas de una actividad respetuosa con el medioambiente puede reducir la factura fiscal de la empresa y de sus trabajadores</w:t>
      </w:r>
      <w:r w:rsidRPr="00CD2061">
        <w:rPr>
          <w:rFonts w:ascii="Times New Roman" w:hAnsi="Times New Roman" w:cs="Times New Roman"/>
          <w:sz w:val="21"/>
          <w:szCs w:val="21"/>
        </w:rPr>
        <w:t>.</w:t>
      </w:r>
    </w:p>
    <w:p w:rsidR="00237E8A" w:rsidRPr="00CD2061" w:rsidRDefault="00237E8A" w:rsidP="00237E8A">
      <w:pPr>
        <w:pStyle w:val="Prrafodelista"/>
        <w:spacing w:line="240" w:lineRule="auto"/>
        <w:jc w:val="both"/>
        <w:rPr>
          <w:rFonts w:ascii="Times New Roman" w:hAnsi="Times New Roman" w:cs="Times New Roman"/>
          <w:sz w:val="21"/>
          <w:szCs w:val="21"/>
        </w:rPr>
      </w:pPr>
    </w:p>
    <w:p w:rsidR="00237E8A" w:rsidRPr="00CD2061" w:rsidRDefault="00237E8A" w:rsidP="00237E8A">
      <w:pPr>
        <w:pStyle w:val="Prrafodelista"/>
        <w:spacing w:line="240" w:lineRule="auto"/>
        <w:ind w:left="1440"/>
        <w:jc w:val="both"/>
        <w:rPr>
          <w:rFonts w:ascii="Times New Roman" w:hAnsi="Times New Roman" w:cs="Times New Roman"/>
          <w:b/>
          <w:sz w:val="21"/>
          <w:szCs w:val="21"/>
          <w:u w:val="single"/>
        </w:rPr>
      </w:pPr>
      <w:r w:rsidRPr="00CD2061">
        <w:rPr>
          <w:rFonts w:ascii="Times New Roman" w:hAnsi="Times New Roman" w:cs="Times New Roman"/>
          <w:b/>
          <w:sz w:val="21"/>
          <w:szCs w:val="21"/>
          <w:u w:val="single"/>
        </w:rPr>
        <w:t xml:space="preserve">Cuestiones fiscales </w:t>
      </w:r>
      <w:proofErr w:type="gramStart"/>
      <w:r w:rsidRPr="00CD2061">
        <w:rPr>
          <w:rFonts w:ascii="Times New Roman" w:hAnsi="Times New Roman" w:cs="Times New Roman"/>
          <w:b/>
          <w:sz w:val="21"/>
          <w:szCs w:val="21"/>
          <w:u w:val="single"/>
        </w:rPr>
        <w:t>a</w:t>
      </w:r>
      <w:proofErr w:type="gramEnd"/>
      <w:r w:rsidRPr="00CD2061">
        <w:rPr>
          <w:rFonts w:ascii="Times New Roman" w:hAnsi="Times New Roman" w:cs="Times New Roman"/>
          <w:b/>
          <w:sz w:val="21"/>
          <w:szCs w:val="21"/>
          <w:u w:val="single"/>
        </w:rPr>
        <w:t xml:space="preserve"> tener en cuenta en materia de medioambiente:</w:t>
      </w:r>
    </w:p>
    <w:p w:rsidR="00237E8A" w:rsidRPr="00CD2061" w:rsidRDefault="00237E8A" w:rsidP="00237E8A">
      <w:pPr>
        <w:pStyle w:val="Prrafodelista"/>
        <w:spacing w:line="240" w:lineRule="auto"/>
        <w:jc w:val="both"/>
        <w:rPr>
          <w:rFonts w:ascii="Times New Roman" w:hAnsi="Times New Roman" w:cs="Times New Roman"/>
          <w:sz w:val="21"/>
          <w:szCs w:val="21"/>
        </w:rPr>
      </w:pPr>
    </w:p>
    <w:p w:rsidR="00237E8A" w:rsidRPr="00CD2061" w:rsidRDefault="00237E8A" w:rsidP="00237E8A">
      <w:pPr>
        <w:pStyle w:val="Prrafodelista"/>
        <w:numPr>
          <w:ilvl w:val="1"/>
          <w:numId w:val="4"/>
        </w:numPr>
        <w:spacing w:line="240" w:lineRule="auto"/>
        <w:jc w:val="both"/>
        <w:rPr>
          <w:rFonts w:ascii="Times New Roman" w:hAnsi="Times New Roman" w:cs="Times New Roman"/>
          <w:sz w:val="21"/>
          <w:szCs w:val="21"/>
          <w:shd w:val="clear" w:color="auto" w:fill="FFFFFF"/>
        </w:rPr>
      </w:pPr>
      <w:r w:rsidRPr="00CD2061">
        <w:rPr>
          <w:rFonts w:ascii="Times New Roman" w:hAnsi="Times New Roman" w:cs="Times New Roman"/>
          <w:sz w:val="21"/>
          <w:szCs w:val="21"/>
          <w:shd w:val="clear" w:color="auto" w:fill="FFFFFF"/>
        </w:rPr>
        <w:t>Impuesto sobre la Renta: si un empresario pone a disposición de un trabajador un vehículo “eficientemente energético”, el trabajador pagará menos por la renta en especie.</w:t>
      </w:r>
    </w:p>
    <w:p w:rsidR="00237E8A" w:rsidRPr="00CD2061" w:rsidRDefault="00237E8A" w:rsidP="00237E8A">
      <w:pPr>
        <w:pStyle w:val="Prrafodelista"/>
        <w:spacing w:line="240" w:lineRule="auto"/>
        <w:ind w:left="1440"/>
        <w:jc w:val="both"/>
        <w:rPr>
          <w:rFonts w:ascii="Times New Roman" w:hAnsi="Times New Roman" w:cs="Times New Roman"/>
          <w:sz w:val="21"/>
          <w:szCs w:val="21"/>
          <w:shd w:val="clear" w:color="auto" w:fill="FFFFFF"/>
        </w:rPr>
      </w:pPr>
    </w:p>
    <w:p w:rsidR="00237E8A" w:rsidRPr="00CD2061" w:rsidRDefault="00237E8A" w:rsidP="00237E8A">
      <w:pPr>
        <w:pStyle w:val="Prrafodelista"/>
        <w:numPr>
          <w:ilvl w:val="1"/>
          <w:numId w:val="4"/>
        </w:numPr>
        <w:spacing w:line="240" w:lineRule="auto"/>
        <w:jc w:val="both"/>
        <w:rPr>
          <w:rFonts w:ascii="Times New Roman" w:hAnsi="Times New Roman" w:cs="Times New Roman"/>
          <w:sz w:val="21"/>
          <w:szCs w:val="21"/>
          <w:shd w:val="clear" w:color="auto" w:fill="FFFFFF"/>
        </w:rPr>
      </w:pPr>
      <w:r w:rsidRPr="00CD2061">
        <w:rPr>
          <w:rFonts w:ascii="Times New Roman" w:hAnsi="Times New Roman" w:cs="Times New Roman"/>
          <w:sz w:val="21"/>
          <w:szCs w:val="21"/>
          <w:shd w:val="clear" w:color="auto" w:fill="FFFFFF"/>
        </w:rPr>
        <w:lastRenderedPageBreak/>
        <w:t xml:space="preserve">Las comunidades autónomas pueden regular tributos propios por daños medioambientales. (Ejemplos: por contaminación de aguas, por la emisión de contaminantes a la atmósfera, por almacenamiento de residuos, </w:t>
      </w:r>
      <w:proofErr w:type="spellStart"/>
      <w:r w:rsidRPr="00CD2061">
        <w:rPr>
          <w:rFonts w:ascii="Times New Roman" w:hAnsi="Times New Roman" w:cs="Times New Roman"/>
          <w:sz w:val="21"/>
          <w:szCs w:val="21"/>
          <w:shd w:val="clear" w:color="auto" w:fill="FFFFFF"/>
        </w:rPr>
        <w:t>etc</w:t>
      </w:r>
      <w:proofErr w:type="spellEnd"/>
      <w:r w:rsidRPr="00CD2061">
        <w:rPr>
          <w:rFonts w:ascii="Times New Roman" w:hAnsi="Times New Roman" w:cs="Times New Roman"/>
          <w:sz w:val="21"/>
          <w:szCs w:val="21"/>
          <w:shd w:val="clear" w:color="auto" w:fill="FFFFFF"/>
        </w:rPr>
        <w:t>).</w:t>
      </w:r>
    </w:p>
    <w:p w:rsidR="00237E8A" w:rsidRPr="00CD2061" w:rsidRDefault="00237E8A" w:rsidP="00237E8A">
      <w:pPr>
        <w:pStyle w:val="Prrafodelista"/>
        <w:spacing w:line="240" w:lineRule="auto"/>
        <w:ind w:left="1440"/>
        <w:jc w:val="both"/>
        <w:rPr>
          <w:rFonts w:ascii="Times New Roman" w:hAnsi="Times New Roman" w:cs="Times New Roman"/>
          <w:sz w:val="21"/>
          <w:szCs w:val="21"/>
          <w:shd w:val="clear" w:color="auto" w:fill="FFFFFF"/>
        </w:rPr>
      </w:pPr>
    </w:p>
    <w:p w:rsidR="00237E8A" w:rsidRPr="00CD2061" w:rsidRDefault="00237E8A" w:rsidP="00237E8A">
      <w:pPr>
        <w:pStyle w:val="Prrafodelista"/>
        <w:numPr>
          <w:ilvl w:val="1"/>
          <w:numId w:val="4"/>
        </w:numPr>
        <w:spacing w:line="240" w:lineRule="auto"/>
        <w:jc w:val="both"/>
        <w:rPr>
          <w:rFonts w:ascii="Times New Roman" w:hAnsi="Times New Roman" w:cs="Times New Roman"/>
          <w:sz w:val="21"/>
          <w:szCs w:val="21"/>
          <w:shd w:val="clear" w:color="auto" w:fill="FFFFFF"/>
        </w:rPr>
      </w:pPr>
      <w:r w:rsidRPr="00CD2061">
        <w:rPr>
          <w:rFonts w:ascii="Times New Roman" w:hAnsi="Times New Roman" w:cs="Times New Roman"/>
          <w:sz w:val="21"/>
          <w:szCs w:val="21"/>
          <w:shd w:val="clear" w:color="auto" w:fill="FFFFFF"/>
        </w:rPr>
        <w:t xml:space="preserve">Impuesto sobre Bienes Inmuebles: los ayuntamientos pueden establecer una bonificación para los inmuebles en los que se hayan instalado sistemas para el aprovechamiento térmico o eléctrico de la energía proveniente del sol. </w:t>
      </w:r>
    </w:p>
    <w:p w:rsidR="00237E8A" w:rsidRPr="00CD2061" w:rsidRDefault="00237E8A" w:rsidP="00237E8A">
      <w:pPr>
        <w:pStyle w:val="Prrafodelista"/>
        <w:spacing w:line="240" w:lineRule="auto"/>
        <w:ind w:left="1440"/>
        <w:jc w:val="both"/>
        <w:rPr>
          <w:rFonts w:ascii="Times New Roman" w:hAnsi="Times New Roman" w:cs="Times New Roman"/>
          <w:sz w:val="21"/>
          <w:szCs w:val="21"/>
          <w:shd w:val="clear" w:color="auto" w:fill="FFFFFF"/>
        </w:rPr>
      </w:pPr>
    </w:p>
    <w:p w:rsidR="00237E8A" w:rsidRPr="00CD2061" w:rsidRDefault="00237E8A" w:rsidP="00237E8A">
      <w:pPr>
        <w:pStyle w:val="Prrafodelista"/>
        <w:numPr>
          <w:ilvl w:val="1"/>
          <w:numId w:val="4"/>
        </w:numPr>
        <w:spacing w:line="240" w:lineRule="auto"/>
        <w:jc w:val="both"/>
        <w:rPr>
          <w:rFonts w:ascii="Times New Roman" w:hAnsi="Times New Roman" w:cs="Times New Roman"/>
          <w:sz w:val="21"/>
          <w:szCs w:val="21"/>
          <w:shd w:val="clear" w:color="auto" w:fill="FFFFFF"/>
        </w:rPr>
      </w:pPr>
      <w:r w:rsidRPr="00CD2061">
        <w:rPr>
          <w:rFonts w:ascii="Times New Roman" w:hAnsi="Times New Roman" w:cs="Times New Roman"/>
          <w:sz w:val="21"/>
          <w:szCs w:val="21"/>
          <w:shd w:val="clear" w:color="auto" w:fill="FFFFFF"/>
        </w:rPr>
        <w:t xml:space="preserve">Impuesto sobre Actividades Económicas: los ayuntamientos pueden establecer una bonificación para quienes utilicen o produzcan energía a partir de instalaciones para el aprovechamiento de energías renovables o sistemas de cogeneración. </w:t>
      </w:r>
    </w:p>
    <w:p w:rsidR="00237E8A" w:rsidRPr="00CD2061" w:rsidRDefault="00237E8A" w:rsidP="00237E8A">
      <w:pPr>
        <w:pStyle w:val="Prrafodelista"/>
        <w:spacing w:line="240" w:lineRule="auto"/>
        <w:ind w:left="1440"/>
        <w:jc w:val="both"/>
        <w:rPr>
          <w:rFonts w:ascii="Times New Roman" w:hAnsi="Times New Roman" w:cs="Times New Roman"/>
          <w:sz w:val="21"/>
          <w:szCs w:val="21"/>
          <w:shd w:val="clear" w:color="auto" w:fill="FFFFFF"/>
        </w:rPr>
      </w:pPr>
    </w:p>
    <w:p w:rsidR="00237E8A" w:rsidRPr="00CD2061" w:rsidRDefault="00237E8A" w:rsidP="00237E8A">
      <w:pPr>
        <w:pStyle w:val="Prrafodelista"/>
        <w:numPr>
          <w:ilvl w:val="1"/>
          <w:numId w:val="4"/>
        </w:numPr>
        <w:spacing w:line="240" w:lineRule="auto"/>
        <w:jc w:val="both"/>
        <w:rPr>
          <w:rFonts w:ascii="Times New Roman" w:hAnsi="Times New Roman" w:cs="Times New Roman"/>
          <w:sz w:val="21"/>
          <w:szCs w:val="21"/>
          <w:shd w:val="clear" w:color="auto" w:fill="FFFFFF"/>
        </w:rPr>
      </w:pPr>
      <w:r w:rsidRPr="00CD2061">
        <w:rPr>
          <w:rFonts w:ascii="Times New Roman" w:hAnsi="Times New Roman" w:cs="Times New Roman"/>
          <w:sz w:val="21"/>
          <w:szCs w:val="21"/>
          <w:shd w:val="clear" w:color="auto" w:fill="FFFFFF"/>
        </w:rPr>
        <w:t>Impuesto sobre vehículos de tracción mecánica: los ayuntamientos pueden bonificar a los vehículos según la clase de carburante que consuma el vehículo, dependiendo de la incidencia de la combustión de dicho carburante en el medio ambiente y también en función de las características de los motores y su incidencia en el medio ambiente.</w:t>
      </w:r>
    </w:p>
    <w:p w:rsidR="00237E8A" w:rsidRPr="00CD2061" w:rsidRDefault="00237E8A" w:rsidP="00237E8A">
      <w:pPr>
        <w:pStyle w:val="Prrafodelista"/>
        <w:spacing w:line="240" w:lineRule="auto"/>
        <w:ind w:left="1440"/>
        <w:jc w:val="both"/>
        <w:rPr>
          <w:rFonts w:ascii="Times New Roman" w:hAnsi="Times New Roman" w:cs="Times New Roman"/>
          <w:sz w:val="21"/>
          <w:szCs w:val="21"/>
          <w:shd w:val="clear" w:color="auto" w:fill="FFFFFF"/>
        </w:rPr>
      </w:pPr>
    </w:p>
    <w:p w:rsidR="00237E8A" w:rsidRPr="00CD2061" w:rsidRDefault="00237E8A" w:rsidP="00237E8A">
      <w:pPr>
        <w:pStyle w:val="Prrafodelista"/>
        <w:numPr>
          <w:ilvl w:val="1"/>
          <w:numId w:val="4"/>
        </w:numPr>
        <w:spacing w:line="240" w:lineRule="auto"/>
        <w:jc w:val="both"/>
        <w:rPr>
          <w:rFonts w:ascii="Times New Roman" w:hAnsi="Times New Roman" w:cs="Times New Roman"/>
          <w:sz w:val="21"/>
          <w:szCs w:val="21"/>
          <w:shd w:val="clear" w:color="auto" w:fill="FFFFFF"/>
        </w:rPr>
      </w:pPr>
      <w:r w:rsidRPr="00CD2061">
        <w:rPr>
          <w:rFonts w:ascii="Times New Roman" w:hAnsi="Times New Roman" w:cs="Times New Roman"/>
          <w:sz w:val="21"/>
          <w:szCs w:val="21"/>
          <w:shd w:val="clear" w:color="auto" w:fill="FFFFFF"/>
        </w:rPr>
        <w:t>Impuesto sobre construcciones, instalaciones u obras: los ayuntamientos pueden bonificar las construcciones, instalaciones u obras en las que se incorporen sistemas para el aprovechamiento térmico o eléctrico de la energía solar.</w:t>
      </w:r>
    </w:p>
    <w:p w:rsidR="00237E8A" w:rsidRPr="00CD2061" w:rsidRDefault="00237E8A" w:rsidP="00237E8A">
      <w:pPr>
        <w:pStyle w:val="Prrafodelista"/>
        <w:spacing w:line="240" w:lineRule="auto"/>
        <w:rPr>
          <w:rFonts w:ascii="Times New Roman" w:hAnsi="Times New Roman" w:cs="Times New Roman"/>
          <w:sz w:val="21"/>
          <w:szCs w:val="21"/>
          <w:shd w:val="clear" w:color="auto" w:fill="FFFFFF"/>
        </w:rPr>
      </w:pPr>
    </w:p>
    <w:p w:rsidR="00237E8A" w:rsidRPr="00CD2061" w:rsidRDefault="00237E8A" w:rsidP="00237E8A">
      <w:pPr>
        <w:pStyle w:val="Prrafodelista"/>
        <w:numPr>
          <w:ilvl w:val="0"/>
          <w:numId w:val="4"/>
        </w:numPr>
        <w:spacing w:line="240" w:lineRule="auto"/>
        <w:jc w:val="both"/>
        <w:rPr>
          <w:rFonts w:ascii="Times New Roman" w:hAnsi="Times New Roman" w:cs="Times New Roman"/>
          <w:b/>
          <w:sz w:val="21"/>
          <w:szCs w:val="21"/>
          <w:shd w:val="clear" w:color="auto" w:fill="FFFFFF"/>
        </w:rPr>
      </w:pPr>
      <w:r w:rsidRPr="00CD2061">
        <w:rPr>
          <w:rFonts w:ascii="Times New Roman" w:hAnsi="Times New Roman" w:cs="Times New Roman"/>
          <w:sz w:val="21"/>
          <w:szCs w:val="21"/>
          <w:shd w:val="clear" w:color="auto" w:fill="FFFFFF"/>
        </w:rPr>
        <w:t xml:space="preserve">No obstante, </w:t>
      </w:r>
      <w:r w:rsidRPr="00CD2061">
        <w:rPr>
          <w:rFonts w:ascii="Times New Roman" w:hAnsi="Times New Roman" w:cs="Times New Roman"/>
          <w:b/>
          <w:sz w:val="21"/>
          <w:szCs w:val="21"/>
          <w:shd w:val="clear" w:color="auto" w:fill="FFFFFF"/>
        </w:rPr>
        <w:t>en cuanto a otros Objetivos de Desarrollo Sostenible, la Ley del Impuesto sobre Sociedades (Ley 27/2014) sí establece beneficios fiscales</w:t>
      </w:r>
      <w:r w:rsidRPr="00CD2061">
        <w:rPr>
          <w:rFonts w:ascii="Times New Roman" w:hAnsi="Times New Roman" w:cs="Times New Roman"/>
          <w:sz w:val="21"/>
          <w:szCs w:val="21"/>
          <w:shd w:val="clear" w:color="auto" w:fill="FFFFFF"/>
        </w:rPr>
        <w:t xml:space="preserve">. Concretamente, contempla </w:t>
      </w:r>
      <w:r w:rsidRPr="00CD2061">
        <w:rPr>
          <w:rFonts w:ascii="Times New Roman" w:hAnsi="Times New Roman" w:cs="Times New Roman"/>
          <w:b/>
          <w:sz w:val="21"/>
          <w:szCs w:val="21"/>
          <w:shd w:val="clear" w:color="auto" w:fill="FFFFFF"/>
        </w:rPr>
        <w:t xml:space="preserve">deducciones fiscales por la contratación de trabajadores con discapacidad y la no deducción de gastos en actuaciones contrarias al ordenamiento jurídico (como son los sobornos). </w:t>
      </w:r>
    </w:p>
    <w:p w:rsidR="000E02A6" w:rsidRPr="00CD2061" w:rsidRDefault="000E02A6" w:rsidP="00237E8A">
      <w:pPr>
        <w:spacing w:line="240" w:lineRule="auto"/>
        <w:rPr>
          <w:rFonts w:ascii="Times New Roman" w:hAnsi="Times New Roman" w:cs="Times New Roman"/>
          <w:b/>
          <w:sz w:val="21"/>
          <w:szCs w:val="21"/>
        </w:rPr>
      </w:pPr>
    </w:p>
    <w:p w:rsidR="00237E8A" w:rsidRPr="00CD2061" w:rsidRDefault="00237E8A" w:rsidP="00237E8A">
      <w:pPr>
        <w:spacing w:line="240" w:lineRule="auto"/>
        <w:rPr>
          <w:rFonts w:ascii="Times New Roman" w:hAnsi="Times New Roman" w:cs="Times New Roman"/>
          <w:b/>
          <w:sz w:val="21"/>
          <w:szCs w:val="21"/>
          <w:u w:val="single"/>
        </w:rPr>
      </w:pPr>
      <w:r w:rsidRPr="00CD2061">
        <w:rPr>
          <w:rFonts w:ascii="Times New Roman" w:hAnsi="Times New Roman" w:cs="Times New Roman"/>
          <w:b/>
          <w:sz w:val="21"/>
          <w:szCs w:val="21"/>
          <w:u w:val="single"/>
        </w:rPr>
        <w:t xml:space="preserve">A la hora de </w:t>
      </w:r>
      <w:r w:rsidR="000E02A6" w:rsidRPr="00CD2061">
        <w:rPr>
          <w:rFonts w:ascii="Times New Roman" w:hAnsi="Times New Roman" w:cs="Times New Roman"/>
          <w:b/>
          <w:sz w:val="21"/>
          <w:szCs w:val="21"/>
          <w:u w:val="single"/>
        </w:rPr>
        <w:t>i</w:t>
      </w:r>
      <w:r w:rsidRPr="00CD2061">
        <w:rPr>
          <w:rFonts w:ascii="Times New Roman" w:hAnsi="Times New Roman" w:cs="Times New Roman"/>
          <w:b/>
          <w:sz w:val="21"/>
          <w:szCs w:val="21"/>
          <w:u w:val="single"/>
        </w:rPr>
        <w:t>nvertir:</w:t>
      </w:r>
    </w:p>
    <w:p w:rsidR="00237E8A" w:rsidRPr="00CD2061" w:rsidRDefault="00237E8A" w:rsidP="00237E8A">
      <w:pPr>
        <w:pStyle w:val="Prrafodelista"/>
        <w:numPr>
          <w:ilvl w:val="0"/>
          <w:numId w:val="4"/>
        </w:numPr>
        <w:spacing w:before="100" w:beforeAutospacing="1" w:after="100" w:afterAutospacing="1" w:line="240" w:lineRule="auto"/>
        <w:jc w:val="both"/>
        <w:rPr>
          <w:rFonts w:ascii="Times New Roman" w:hAnsi="Times New Roman" w:cs="Times New Roman"/>
          <w:sz w:val="21"/>
          <w:szCs w:val="21"/>
        </w:rPr>
      </w:pPr>
      <w:r w:rsidRPr="00CD2061">
        <w:rPr>
          <w:rFonts w:ascii="Times New Roman" w:hAnsi="Times New Roman" w:cs="Times New Roman"/>
          <w:sz w:val="21"/>
          <w:szCs w:val="21"/>
        </w:rPr>
        <w:t>Las finanzas sostenibles tratan de canalizar los fondos hacia inversiones que tienen en cuenta cuestiones ambientales y/o sociales y atender a las expectativas de inversores socialmente responsables y sus necesidades de inversión en estrategias empresariales sostenibles.</w:t>
      </w:r>
    </w:p>
    <w:p w:rsidR="00237E8A" w:rsidRPr="00CD2061" w:rsidRDefault="00237E8A" w:rsidP="00237E8A">
      <w:pPr>
        <w:pStyle w:val="Prrafodelista"/>
        <w:spacing w:before="100" w:beforeAutospacing="1" w:after="100" w:afterAutospacing="1" w:line="240" w:lineRule="auto"/>
        <w:jc w:val="both"/>
        <w:rPr>
          <w:rFonts w:ascii="Times New Roman" w:hAnsi="Times New Roman" w:cs="Times New Roman"/>
          <w:sz w:val="21"/>
          <w:szCs w:val="21"/>
        </w:rPr>
      </w:pPr>
    </w:p>
    <w:p w:rsidR="00237E8A" w:rsidRPr="00CD2061" w:rsidRDefault="00237E8A" w:rsidP="00237E8A">
      <w:pPr>
        <w:pStyle w:val="Prrafodelista"/>
        <w:numPr>
          <w:ilvl w:val="0"/>
          <w:numId w:val="4"/>
        </w:numPr>
        <w:spacing w:before="100" w:beforeAutospacing="1" w:after="100" w:afterAutospacing="1" w:line="240" w:lineRule="auto"/>
        <w:jc w:val="both"/>
        <w:rPr>
          <w:rFonts w:ascii="Times New Roman" w:hAnsi="Times New Roman" w:cs="Times New Roman"/>
          <w:sz w:val="21"/>
          <w:szCs w:val="21"/>
        </w:rPr>
      </w:pPr>
      <w:r w:rsidRPr="00CD2061">
        <w:rPr>
          <w:rFonts w:ascii="Times New Roman" w:hAnsi="Times New Roman" w:cs="Times New Roman"/>
          <w:sz w:val="21"/>
          <w:szCs w:val="21"/>
        </w:rPr>
        <w:t xml:space="preserve">Los productos sostenibles son aquellos que se emiten para financiar los Objetivos de Desarrollo sostenible (ODS). ¿Cómo puede una pyme invertir en productos sostenibles? A través de: Bonos sostenibles (bonos verdes, azules y sociales), fondos de inversión y </w:t>
      </w:r>
      <w:proofErr w:type="spellStart"/>
      <w:r w:rsidRPr="00CD2061">
        <w:rPr>
          <w:rFonts w:ascii="Times New Roman" w:hAnsi="Times New Roman" w:cs="Times New Roman"/>
          <w:sz w:val="21"/>
          <w:szCs w:val="21"/>
        </w:rPr>
        <w:t>ETFs</w:t>
      </w:r>
      <w:proofErr w:type="spellEnd"/>
      <w:r w:rsidRPr="00CD2061">
        <w:rPr>
          <w:rFonts w:ascii="Times New Roman" w:hAnsi="Times New Roman" w:cs="Times New Roman"/>
          <w:sz w:val="21"/>
          <w:szCs w:val="21"/>
        </w:rPr>
        <w:t xml:space="preserve"> sostenibles (fondos éticos, de desarrollo sostenible, solidarios y temáticos), inversión directa en acciones de compañías que cotizan en el índice FTSE4Good IBEX, y créditos verdes.</w:t>
      </w:r>
    </w:p>
    <w:p w:rsidR="00237E8A" w:rsidRPr="00CD2061" w:rsidRDefault="00237E8A" w:rsidP="00237E8A">
      <w:pPr>
        <w:pStyle w:val="Prrafodelista"/>
        <w:spacing w:line="240" w:lineRule="auto"/>
        <w:rPr>
          <w:rFonts w:ascii="Times New Roman" w:hAnsi="Times New Roman" w:cs="Times New Roman"/>
          <w:sz w:val="21"/>
          <w:szCs w:val="21"/>
        </w:rPr>
      </w:pPr>
    </w:p>
    <w:p w:rsidR="00237E8A" w:rsidRPr="00CD2061" w:rsidRDefault="00237E8A" w:rsidP="00237E8A">
      <w:pPr>
        <w:pStyle w:val="Prrafodelista"/>
        <w:numPr>
          <w:ilvl w:val="0"/>
          <w:numId w:val="4"/>
        </w:numPr>
        <w:spacing w:before="100" w:beforeAutospacing="1" w:after="100" w:afterAutospacing="1" w:line="240" w:lineRule="auto"/>
        <w:jc w:val="both"/>
        <w:rPr>
          <w:rFonts w:ascii="Times New Roman" w:hAnsi="Times New Roman" w:cs="Times New Roman"/>
          <w:sz w:val="21"/>
          <w:szCs w:val="21"/>
        </w:rPr>
      </w:pPr>
      <w:r w:rsidRPr="00CD2061">
        <w:rPr>
          <w:rFonts w:ascii="Times New Roman" w:hAnsi="Times New Roman" w:cs="Times New Roman"/>
          <w:sz w:val="21"/>
          <w:szCs w:val="21"/>
        </w:rPr>
        <w:t xml:space="preserve">Dada la dificultad que puede tener para las Pequeñas y Medianas Empresas integrar los principios de inversión responsable y adaptarse tanto a las futuras normativas sobre cambio climático y finanzas sostenibles, distintas asociaciones e instituciones como </w:t>
      </w:r>
      <w:proofErr w:type="spellStart"/>
      <w:r w:rsidRPr="00CD2061">
        <w:rPr>
          <w:rFonts w:ascii="Times New Roman" w:hAnsi="Times New Roman" w:cs="Times New Roman"/>
          <w:sz w:val="21"/>
          <w:szCs w:val="21"/>
        </w:rPr>
        <w:t>Finresp</w:t>
      </w:r>
      <w:proofErr w:type="spellEnd"/>
      <w:r w:rsidRPr="00CD2061">
        <w:rPr>
          <w:rFonts w:ascii="Times New Roman" w:hAnsi="Times New Roman" w:cs="Times New Roman"/>
          <w:sz w:val="21"/>
          <w:szCs w:val="21"/>
        </w:rPr>
        <w:t>, el ICO o la Red Española del Pacto Mundial, están realizando esfuerzos para ayudar a las Pymes a adaptarse.</w:t>
      </w:r>
    </w:p>
    <w:p w:rsidR="00237E8A" w:rsidRPr="00CD2061" w:rsidRDefault="00237E8A" w:rsidP="00237E8A">
      <w:pPr>
        <w:pStyle w:val="Prrafodelista"/>
        <w:spacing w:line="240" w:lineRule="auto"/>
        <w:rPr>
          <w:rFonts w:ascii="Times New Roman" w:hAnsi="Times New Roman" w:cs="Times New Roman"/>
          <w:sz w:val="21"/>
          <w:szCs w:val="21"/>
        </w:rPr>
      </w:pPr>
    </w:p>
    <w:p w:rsidR="00237E8A" w:rsidRPr="00CD2061" w:rsidRDefault="00237E8A" w:rsidP="00237E8A">
      <w:pPr>
        <w:spacing w:line="240" w:lineRule="auto"/>
        <w:rPr>
          <w:rFonts w:ascii="Times New Roman" w:hAnsi="Times New Roman" w:cs="Times New Roman"/>
          <w:b/>
          <w:sz w:val="21"/>
          <w:szCs w:val="21"/>
          <w:u w:val="single"/>
        </w:rPr>
      </w:pPr>
      <w:r w:rsidRPr="00CD2061">
        <w:rPr>
          <w:rFonts w:ascii="Times New Roman" w:hAnsi="Times New Roman" w:cs="Times New Roman"/>
          <w:b/>
          <w:sz w:val="21"/>
          <w:szCs w:val="21"/>
          <w:u w:val="single"/>
        </w:rPr>
        <w:t>Test de evaluación:</w:t>
      </w:r>
    </w:p>
    <w:p w:rsidR="00237E8A" w:rsidRPr="00CD2061" w:rsidRDefault="00237E8A" w:rsidP="00237E8A">
      <w:pPr>
        <w:pStyle w:val="Prrafodelista"/>
        <w:numPr>
          <w:ilvl w:val="0"/>
          <w:numId w:val="4"/>
        </w:numPr>
        <w:spacing w:before="100" w:beforeAutospacing="1" w:after="100" w:afterAutospacing="1" w:line="240" w:lineRule="auto"/>
        <w:jc w:val="both"/>
        <w:rPr>
          <w:rFonts w:ascii="Times New Roman" w:hAnsi="Times New Roman" w:cs="Times New Roman"/>
          <w:sz w:val="21"/>
          <w:szCs w:val="21"/>
        </w:rPr>
      </w:pPr>
      <w:r w:rsidRPr="00CD2061">
        <w:rPr>
          <w:rFonts w:ascii="Times New Roman" w:hAnsi="Times New Roman" w:cs="Times New Roman"/>
          <w:sz w:val="21"/>
          <w:szCs w:val="21"/>
        </w:rPr>
        <w:t xml:space="preserve">La cumplimentación de un </w:t>
      </w:r>
      <w:proofErr w:type="gramStart"/>
      <w:r w:rsidRPr="00CD2061">
        <w:rPr>
          <w:rFonts w:ascii="Times New Roman" w:hAnsi="Times New Roman" w:cs="Times New Roman"/>
          <w:sz w:val="21"/>
          <w:szCs w:val="21"/>
        </w:rPr>
        <w:t>sencillo test</w:t>
      </w:r>
      <w:proofErr w:type="gramEnd"/>
      <w:r w:rsidRPr="00CD2061">
        <w:rPr>
          <w:rFonts w:ascii="Times New Roman" w:hAnsi="Times New Roman" w:cs="Times New Roman"/>
          <w:sz w:val="21"/>
          <w:szCs w:val="21"/>
        </w:rPr>
        <w:t xml:space="preserve"> de evaluación puede ayudar a las pymes a determinar el grado de cumplimiento en materia de ODS.</w:t>
      </w:r>
    </w:p>
    <w:p w:rsidR="00D75ACD" w:rsidRPr="00D75ACD" w:rsidRDefault="00D75ACD" w:rsidP="00D75ACD">
      <w:pPr>
        <w:tabs>
          <w:tab w:val="left" w:pos="-4111"/>
        </w:tabs>
        <w:spacing w:line="240" w:lineRule="auto"/>
        <w:ind w:right="-1"/>
        <w:jc w:val="both"/>
        <w:rPr>
          <w:rFonts w:ascii="Times New Roman" w:hAnsi="Times New Roman" w:cs="Times New Roman"/>
          <w:bCs/>
        </w:rPr>
      </w:pPr>
    </w:p>
    <w:p w:rsidR="000556BE" w:rsidRPr="00B73E50" w:rsidRDefault="000556BE" w:rsidP="005F42C3">
      <w:pPr>
        <w:shd w:val="clear" w:color="auto" w:fill="FFFFFF"/>
        <w:spacing w:line="240" w:lineRule="auto"/>
        <w:rPr>
          <w:rFonts w:ascii="Arial" w:hAnsi="Arial" w:cs="Arial"/>
          <w:sz w:val="18"/>
          <w:szCs w:val="18"/>
          <w:u w:val="single"/>
        </w:rPr>
      </w:pPr>
    </w:p>
    <w:p w:rsidR="00070A71" w:rsidRPr="00070A71" w:rsidRDefault="00070A71" w:rsidP="00070A71">
      <w:pPr>
        <w:shd w:val="clear" w:color="auto" w:fill="FFFFFF"/>
        <w:spacing w:line="240" w:lineRule="auto"/>
        <w:ind w:left="5664"/>
        <w:rPr>
          <w:rFonts w:ascii="Arial" w:hAnsi="Arial" w:cs="Arial"/>
          <w:sz w:val="18"/>
          <w:szCs w:val="18"/>
          <w:u w:val="single"/>
        </w:rPr>
      </w:pPr>
      <w:r>
        <w:rPr>
          <w:rFonts w:ascii="Arial" w:hAnsi="Arial" w:cs="Arial"/>
          <w:sz w:val="18"/>
          <w:szCs w:val="18"/>
          <w:u w:val="single"/>
        </w:rPr>
        <w:t>Noviembre de 2019</w:t>
      </w:r>
    </w:p>
    <w:sectPr w:rsidR="00070A71" w:rsidRPr="00070A71" w:rsidSect="00B73E50">
      <w:headerReference w:type="first" r:id="rId10"/>
      <w:pgSz w:w="11906" w:h="16838"/>
      <w:pgMar w:top="1843" w:right="1274" w:bottom="709"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3E50" w:rsidRDefault="00B73E50" w:rsidP="00B73E50">
      <w:pPr>
        <w:spacing w:after="0" w:line="240" w:lineRule="auto"/>
      </w:pPr>
      <w:r>
        <w:separator/>
      </w:r>
    </w:p>
  </w:endnote>
  <w:endnote w:type="continuationSeparator" w:id="0">
    <w:p w:rsidR="00B73E50" w:rsidRDefault="00B73E50" w:rsidP="00B73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3E50" w:rsidRDefault="00B73E50" w:rsidP="00B73E50">
      <w:pPr>
        <w:spacing w:after="0" w:line="240" w:lineRule="auto"/>
      </w:pPr>
      <w:r>
        <w:separator/>
      </w:r>
    </w:p>
  </w:footnote>
  <w:footnote w:type="continuationSeparator" w:id="0">
    <w:p w:rsidR="00B73E50" w:rsidRDefault="00B73E50" w:rsidP="00B73E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3E50" w:rsidRDefault="00B73E50" w:rsidP="00B73E50">
    <w:pPr>
      <w:spacing w:after="0"/>
    </w:pPr>
    <w:r>
      <w:rPr>
        <w:noProof/>
      </w:rPr>
      <w:drawing>
        <wp:anchor distT="0" distB="0" distL="114300" distR="114300" simplePos="0" relativeHeight="251662336" behindDoc="1" locked="0" layoutInCell="1" allowOverlap="1" wp14:anchorId="2D94B5AC" wp14:editId="3D0A4021">
          <wp:simplePos x="0" y="0"/>
          <wp:positionH relativeFrom="column">
            <wp:posOffset>4219575</wp:posOffset>
          </wp:positionH>
          <wp:positionV relativeFrom="paragraph">
            <wp:posOffset>346710</wp:posOffset>
          </wp:positionV>
          <wp:extent cx="2037080" cy="502920"/>
          <wp:effectExtent l="0" t="0" r="1270" b="0"/>
          <wp:wrapTight wrapText="bothSides">
            <wp:wrapPolygon edited="0">
              <wp:start x="0" y="0"/>
              <wp:lineTo x="0" y="20455"/>
              <wp:lineTo x="21411" y="20455"/>
              <wp:lineTo x="21411" y="0"/>
              <wp:lineTo x="0" y="0"/>
            </wp:wrapPolygon>
          </wp:wrapTight>
          <wp:docPr id="82" name="Imagen 82" descr="LogoC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G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37080" cy="5029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noProof/>
        <w:sz w:val="32"/>
        <w:szCs w:val="32"/>
      </w:rPr>
      <w:drawing>
        <wp:anchor distT="0" distB="0" distL="114300" distR="114300" simplePos="0" relativeHeight="251663360" behindDoc="0" locked="0" layoutInCell="1" allowOverlap="1" wp14:anchorId="4D4B181D" wp14:editId="54E9007A">
          <wp:simplePos x="0" y="0"/>
          <wp:positionH relativeFrom="column">
            <wp:posOffset>-1270</wp:posOffset>
          </wp:positionH>
          <wp:positionV relativeFrom="paragraph">
            <wp:posOffset>479425</wp:posOffset>
          </wp:positionV>
          <wp:extent cx="1600200" cy="380365"/>
          <wp:effectExtent l="0" t="0" r="0" b="635"/>
          <wp:wrapSquare wrapText="bothSides"/>
          <wp:docPr id="83" name="Imagen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0200" cy="380365"/>
                  </a:xfrm>
                  <a:prstGeom prst="rect">
                    <a:avLst/>
                  </a:prstGeom>
                  <a:noFill/>
                </pic:spPr>
              </pic:pic>
            </a:graphicData>
          </a:graphic>
        </wp:anchor>
      </w:drawing>
    </w:r>
    <w:r>
      <w:rPr>
        <w:noProof/>
      </w:rPr>
      <w:drawing>
        <wp:inline distT="0" distB="0" distL="0" distR="0" wp14:anchorId="09C43066" wp14:editId="468177FF">
          <wp:extent cx="1939290" cy="1371600"/>
          <wp:effectExtent l="0" t="0" r="3810" b="0"/>
          <wp:docPr id="84" name="Imagen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973013" cy="139545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40083"/>
    <w:multiLevelType w:val="hybridMultilevel"/>
    <w:tmpl w:val="D628565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0A364C5"/>
    <w:multiLevelType w:val="hybridMultilevel"/>
    <w:tmpl w:val="46C20ACE"/>
    <w:lvl w:ilvl="0" w:tplc="0C0A0003">
      <w:start w:val="1"/>
      <w:numFmt w:val="bullet"/>
      <w:lvlText w:val="o"/>
      <w:lvlJc w:val="left"/>
      <w:pPr>
        <w:ind w:left="1428" w:hanging="360"/>
      </w:pPr>
      <w:rPr>
        <w:rFonts w:ascii="Courier New" w:hAnsi="Courier New" w:cs="Courier New"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 w15:restartNumberingAfterBreak="0">
    <w:nsid w:val="123F2269"/>
    <w:multiLevelType w:val="hybridMultilevel"/>
    <w:tmpl w:val="908008B2"/>
    <w:lvl w:ilvl="0" w:tplc="C30ACB4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82F79EA"/>
    <w:multiLevelType w:val="hybridMultilevel"/>
    <w:tmpl w:val="A7B208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DE763F9"/>
    <w:multiLevelType w:val="hybridMultilevel"/>
    <w:tmpl w:val="38522BF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4420AD4"/>
    <w:multiLevelType w:val="hybridMultilevel"/>
    <w:tmpl w:val="B8D41CB2"/>
    <w:lvl w:ilvl="0" w:tplc="B3C656E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6C107FDE"/>
    <w:multiLevelType w:val="hybridMultilevel"/>
    <w:tmpl w:val="647EC9F2"/>
    <w:lvl w:ilvl="0" w:tplc="0C0A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3"/>
  </w:num>
  <w:num w:numId="2">
    <w:abstractNumId w:val="5"/>
  </w:num>
  <w:num w:numId="3">
    <w:abstractNumId w:val="2"/>
  </w:num>
  <w:num w:numId="4">
    <w:abstractNumId w:val="0"/>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352"/>
    <w:rsid w:val="000118B1"/>
    <w:rsid w:val="000333CC"/>
    <w:rsid w:val="000556BE"/>
    <w:rsid w:val="00070A71"/>
    <w:rsid w:val="000831CA"/>
    <w:rsid w:val="000E02A6"/>
    <w:rsid w:val="000F6C63"/>
    <w:rsid w:val="00122594"/>
    <w:rsid w:val="00127DC4"/>
    <w:rsid w:val="00150ED0"/>
    <w:rsid w:val="00190575"/>
    <w:rsid w:val="001A18E0"/>
    <w:rsid w:val="00214F38"/>
    <w:rsid w:val="00237E8A"/>
    <w:rsid w:val="00252A7D"/>
    <w:rsid w:val="00262352"/>
    <w:rsid w:val="002A4450"/>
    <w:rsid w:val="002D7FF0"/>
    <w:rsid w:val="002E455A"/>
    <w:rsid w:val="003579FE"/>
    <w:rsid w:val="003801F7"/>
    <w:rsid w:val="00383904"/>
    <w:rsid w:val="00384903"/>
    <w:rsid w:val="003D2576"/>
    <w:rsid w:val="003D634D"/>
    <w:rsid w:val="0042291B"/>
    <w:rsid w:val="0043101D"/>
    <w:rsid w:val="00431C42"/>
    <w:rsid w:val="00467D61"/>
    <w:rsid w:val="00491DEB"/>
    <w:rsid w:val="00497C5F"/>
    <w:rsid w:val="00540E64"/>
    <w:rsid w:val="005744FF"/>
    <w:rsid w:val="005D141A"/>
    <w:rsid w:val="005E6A3C"/>
    <w:rsid w:val="005F42C3"/>
    <w:rsid w:val="00633EAE"/>
    <w:rsid w:val="006F0551"/>
    <w:rsid w:val="006F5B05"/>
    <w:rsid w:val="00755A4B"/>
    <w:rsid w:val="007D28FB"/>
    <w:rsid w:val="0083610E"/>
    <w:rsid w:val="00837975"/>
    <w:rsid w:val="008A0B42"/>
    <w:rsid w:val="008C3401"/>
    <w:rsid w:val="008D303B"/>
    <w:rsid w:val="008F5AA8"/>
    <w:rsid w:val="009B12EA"/>
    <w:rsid w:val="009E0974"/>
    <w:rsid w:val="00A115F6"/>
    <w:rsid w:val="00A22151"/>
    <w:rsid w:val="00A273EE"/>
    <w:rsid w:val="00AA19EC"/>
    <w:rsid w:val="00AB1C66"/>
    <w:rsid w:val="00AD66E2"/>
    <w:rsid w:val="00AD7CB2"/>
    <w:rsid w:val="00AF0850"/>
    <w:rsid w:val="00AF6610"/>
    <w:rsid w:val="00B0063B"/>
    <w:rsid w:val="00B408FD"/>
    <w:rsid w:val="00B61DC9"/>
    <w:rsid w:val="00B73E50"/>
    <w:rsid w:val="00BA3AD3"/>
    <w:rsid w:val="00C229B4"/>
    <w:rsid w:val="00C43A14"/>
    <w:rsid w:val="00C72BCA"/>
    <w:rsid w:val="00C8625A"/>
    <w:rsid w:val="00CC6FAF"/>
    <w:rsid w:val="00CD1497"/>
    <w:rsid w:val="00CD2061"/>
    <w:rsid w:val="00D30768"/>
    <w:rsid w:val="00D64220"/>
    <w:rsid w:val="00D75ACD"/>
    <w:rsid w:val="00DB6EA5"/>
    <w:rsid w:val="00DE2906"/>
    <w:rsid w:val="00E249EE"/>
    <w:rsid w:val="00F426BD"/>
    <w:rsid w:val="00F626E1"/>
    <w:rsid w:val="00FD70B1"/>
    <w:rsid w:val="00FE4FB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C0ABD27A-1B9F-4757-B14E-1D6B991A6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62352"/>
    <w:pPr>
      <w:spacing w:before="100" w:beforeAutospacing="1" w:after="100" w:afterAutospacing="1" w:line="240" w:lineRule="auto"/>
    </w:pPr>
    <w:rPr>
      <w:rFonts w:ascii="Times New Roman" w:eastAsia="Times New Roman" w:hAnsi="Times New Roman" w:cs="Times New Roman"/>
      <w:color w:val="000000"/>
      <w:sz w:val="24"/>
      <w:szCs w:val="24"/>
      <w:lang w:eastAsia="es-ES"/>
    </w:rPr>
  </w:style>
  <w:style w:type="character" w:customStyle="1" w:styleId="Car">
    <w:name w:val="Car"/>
    <w:rsid w:val="00262352"/>
    <w:rPr>
      <w:rFonts w:ascii="Arial" w:hAnsi="Arial"/>
      <w:sz w:val="24"/>
      <w:lang w:val="es-ES" w:eastAsia="es-ES"/>
    </w:rPr>
  </w:style>
  <w:style w:type="character" w:styleId="Hipervnculo">
    <w:name w:val="Hyperlink"/>
    <w:uiPriority w:val="99"/>
    <w:rsid w:val="00262352"/>
    <w:rPr>
      <w:rFonts w:cs="Times New Roman"/>
      <w:color w:val="0000FF"/>
      <w:u w:val="single"/>
    </w:rPr>
  </w:style>
  <w:style w:type="paragraph" w:styleId="Textoindependiente">
    <w:name w:val="Body Text"/>
    <w:basedOn w:val="Normal"/>
    <w:link w:val="TextoindependienteCar"/>
    <w:uiPriority w:val="99"/>
    <w:semiHidden/>
    <w:rsid w:val="00262352"/>
    <w:pPr>
      <w:spacing w:after="0" w:line="240" w:lineRule="auto"/>
    </w:pPr>
    <w:rPr>
      <w:rFonts w:ascii="Arial" w:eastAsia="Times New Roman" w:hAnsi="Arial" w:cs="Times New Roman"/>
      <w:sz w:val="24"/>
      <w:szCs w:val="24"/>
      <w:lang w:val="x-none" w:eastAsia="es-ES"/>
    </w:rPr>
  </w:style>
  <w:style w:type="character" w:customStyle="1" w:styleId="TextoindependienteCar">
    <w:name w:val="Texto independiente Car"/>
    <w:basedOn w:val="Fuentedeprrafopredeter"/>
    <w:link w:val="Textoindependiente"/>
    <w:uiPriority w:val="99"/>
    <w:semiHidden/>
    <w:rsid w:val="00262352"/>
    <w:rPr>
      <w:rFonts w:ascii="Arial" w:eastAsia="Times New Roman" w:hAnsi="Arial" w:cs="Times New Roman"/>
      <w:sz w:val="24"/>
      <w:szCs w:val="24"/>
      <w:lang w:val="x-none" w:eastAsia="es-ES"/>
    </w:rPr>
  </w:style>
  <w:style w:type="paragraph" w:styleId="Textodeglobo">
    <w:name w:val="Balloon Text"/>
    <w:basedOn w:val="Normal"/>
    <w:link w:val="TextodegloboCar"/>
    <w:uiPriority w:val="99"/>
    <w:semiHidden/>
    <w:unhideWhenUsed/>
    <w:rsid w:val="00B0063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0063B"/>
    <w:rPr>
      <w:rFonts w:ascii="Segoe UI" w:hAnsi="Segoe UI" w:cs="Segoe UI"/>
      <w:sz w:val="18"/>
      <w:szCs w:val="18"/>
    </w:rPr>
  </w:style>
  <w:style w:type="paragraph" w:styleId="Prrafodelista">
    <w:name w:val="List Paragraph"/>
    <w:basedOn w:val="Normal"/>
    <w:uiPriority w:val="34"/>
    <w:qFormat/>
    <w:rsid w:val="00DE2906"/>
    <w:pPr>
      <w:ind w:left="720"/>
      <w:contextualSpacing/>
    </w:pPr>
  </w:style>
  <w:style w:type="character" w:styleId="Mencinsinresolver">
    <w:name w:val="Unresolved Mention"/>
    <w:basedOn w:val="Fuentedeprrafopredeter"/>
    <w:uiPriority w:val="99"/>
    <w:semiHidden/>
    <w:unhideWhenUsed/>
    <w:rsid w:val="000556BE"/>
    <w:rPr>
      <w:color w:val="605E5C"/>
      <w:shd w:val="clear" w:color="auto" w:fill="E1DFDD"/>
    </w:rPr>
  </w:style>
  <w:style w:type="paragraph" w:customStyle="1" w:styleId="Default">
    <w:name w:val="Default"/>
    <w:rsid w:val="00D75ACD"/>
    <w:pPr>
      <w:autoSpaceDE w:val="0"/>
      <w:autoSpaceDN w:val="0"/>
      <w:adjustRightInd w:val="0"/>
      <w:spacing w:after="0" w:line="240" w:lineRule="auto"/>
    </w:pPr>
    <w:rPr>
      <w:rFonts w:ascii="Calibri" w:hAnsi="Calibri" w:cs="Calibri"/>
      <w:color w:val="000000"/>
      <w:sz w:val="24"/>
      <w:szCs w:val="24"/>
    </w:rPr>
  </w:style>
  <w:style w:type="paragraph" w:styleId="Encabezado">
    <w:name w:val="header"/>
    <w:basedOn w:val="Normal"/>
    <w:link w:val="EncabezadoCar"/>
    <w:uiPriority w:val="99"/>
    <w:unhideWhenUsed/>
    <w:rsid w:val="00B73E5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73E50"/>
  </w:style>
  <w:style w:type="paragraph" w:styleId="Piedepgina">
    <w:name w:val="footer"/>
    <w:basedOn w:val="Normal"/>
    <w:link w:val="PiedepginaCar"/>
    <w:uiPriority w:val="99"/>
    <w:unhideWhenUsed/>
    <w:rsid w:val="00B73E5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73E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479285">
      <w:bodyDiv w:val="1"/>
      <w:marLeft w:val="0"/>
      <w:marRight w:val="0"/>
      <w:marTop w:val="0"/>
      <w:marBottom w:val="0"/>
      <w:divBdr>
        <w:top w:val="none" w:sz="0" w:space="0" w:color="auto"/>
        <w:left w:val="none" w:sz="0" w:space="0" w:color="auto"/>
        <w:bottom w:val="none" w:sz="0" w:space="0" w:color="auto"/>
        <w:right w:val="none" w:sz="0" w:space="0" w:color="auto"/>
      </w:divBdr>
    </w:div>
    <w:div w:id="715857077">
      <w:bodyDiv w:val="1"/>
      <w:marLeft w:val="0"/>
      <w:marRight w:val="0"/>
      <w:marTop w:val="0"/>
      <w:marBottom w:val="0"/>
      <w:divBdr>
        <w:top w:val="none" w:sz="0" w:space="0" w:color="auto"/>
        <w:left w:val="none" w:sz="0" w:space="0" w:color="auto"/>
        <w:bottom w:val="none" w:sz="0" w:space="0" w:color="auto"/>
        <w:right w:val="none" w:sz="0" w:space="0" w:color="auto"/>
      </w:divBdr>
      <w:divsChild>
        <w:div w:id="375155932">
          <w:marLeft w:val="0"/>
          <w:marRight w:val="0"/>
          <w:marTop w:val="0"/>
          <w:marBottom w:val="0"/>
          <w:divBdr>
            <w:top w:val="none" w:sz="0" w:space="0" w:color="auto"/>
            <w:left w:val="none" w:sz="0" w:space="0" w:color="auto"/>
            <w:bottom w:val="none" w:sz="0" w:space="0" w:color="auto"/>
            <w:right w:val="none" w:sz="0" w:space="0" w:color="auto"/>
          </w:divBdr>
        </w:div>
        <w:div w:id="1670282185">
          <w:marLeft w:val="0"/>
          <w:marRight w:val="0"/>
          <w:marTop w:val="0"/>
          <w:marBottom w:val="0"/>
          <w:divBdr>
            <w:top w:val="none" w:sz="0" w:space="0" w:color="auto"/>
            <w:left w:val="none" w:sz="0" w:space="0" w:color="auto"/>
            <w:bottom w:val="none" w:sz="0" w:space="0" w:color="auto"/>
            <w:right w:val="none" w:sz="0" w:space="0" w:color="auto"/>
          </w:divBdr>
        </w:div>
        <w:div w:id="2121485510">
          <w:marLeft w:val="0"/>
          <w:marRight w:val="0"/>
          <w:marTop w:val="0"/>
          <w:marBottom w:val="0"/>
          <w:divBdr>
            <w:top w:val="none" w:sz="0" w:space="0" w:color="auto"/>
            <w:left w:val="none" w:sz="0" w:space="0" w:color="auto"/>
            <w:bottom w:val="none" w:sz="0" w:space="0" w:color="auto"/>
            <w:right w:val="none" w:sz="0" w:space="0" w:color="auto"/>
          </w:divBdr>
        </w:div>
        <w:div w:id="1633822477">
          <w:marLeft w:val="0"/>
          <w:marRight w:val="0"/>
          <w:marTop w:val="0"/>
          <w:marBottom w:val="0"/>
          <w:divBdr>
            <w:top w:val="none" w:sz="0" w:space="0" w:color="auto"/>
            <w:left w:val="none" w:sz="0" w:space="0" w:color="auto"/>
            <w:bottom w:val="none" w:sz="0" w:space="0" w:color="auto"/>
            <w:right w:val="none" w:sz="0" w:space="0" w:color="auto"/>
          </w:divBdr>
        </w:div>
      </w:divsChild>
    </w:div>
    <w:div w:id="1092816554">
      <w:bodyDiv w:val="1"/>
      <w:marLeft w:val="0"/>
      <w:marRight w:val="0"/>
      <w:marTop w:val="0"/>
      <w:marBottom w:val="0"/>
      <w:divBdr>
        <w:top w:val="none" w:sz="0" w:space="0" w:color="auto"/>
        <w:left w:val="none" w:sz="0" w:space="0" w:color="auto"/>
        <w:bottom w:val="none" w:sz="0" w:space="0" w:color="auto"/>
        <w:right w:val="none" w:sz="0" w:space="0" w:color="auto"/>
      </w:divBdr>
    </w:div>
    <w:div w:id="1470517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e.es/diario_boe/txt.php?id=BOE-A-2018-1798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boe.es/boe/dias/2019/03/07/pdfs/BOE-A-2019-3244.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E53974-FDE3-4762-A0AE-CEDDD9F90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2549</Words>
  <Characters>14020</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Audivisuales-CGE</dc:creator>
  <cp:keywords/>
  <dc:description/>
  <cp:lastModifiedBy>SEC TÉCNICA EAF</cp:lastModifiedBy>
  <cp:revision>2</cp:revision>
  <cp:lastPrinted>2019-11-12T16:02:00Z</cp:lastPrinted>
  <dcterms:created xsi:type="dcterms:W3CDTF">2019-11-13T07:34:00Z</dcterms:created>
  <dcterms:modified xsi:type="dcterms:W3CDTF">2019-11-13T07:34:00Z</dcterms:modified>
</cp:coreProperties>
</file>